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D137" w14:textId="77777777" w:rsidR="00100AFF" w:rsidRDefault="00471A95" w:rsidP="004F493B">
      <w:pPr>
        <w:pStyle w:val="Title"/>
      </w:pPr>
      <w:bookmarkStart w:id="0" w:name="_Toc461794794"/>
      <w:r w:rsidRPr="004F493B">
        <w:t>P</w:t>
      </w:r>
      <w:r w:rsidR="007950B6" w:rsidRPr="004F493B">
        <w:t xml:space="preserve">olicy </w:t>
      </w:r>
      <w:r w:rsidR="00E45DD2">
        <w:t>-</w:t>
      </w:r>
      <w:r w:rsidR="004F493B" w:rsidRPr="004F493B">
        <w:t xml:space="preserve"> Transfer of Shares </w:t>
      </w:r>
      <w:r w:rsidR="003E750D">
        <w:t xml:space="preserve">where the shares remain on the same parcel of land </w:t>
      </w:r>
    </w:p>
    <w:p w14:paraId="288CEEF1" w14:textId="77777777" w:rsidR="00E45DD2" w:rsidRPr="00E45DD2" w:rsidRDefault="00E45DD2" w:rsidP="00E45DD2"/>
    <w:bookmarkEnd w:id="0"/>
    <w:p w14:paraId="41B763B9" w14:textId="77777777" w:rsidR="00C75D2C" w:rsidRDefault="00080095" w:rsidP="007950B6">
      <w:pPr>
        <w:pStyle w:val="Heading1"/>
      </w:pPr>
      <w:r>
        <w:t>P</w:t>
      </w:r>
      <w:r w:rsidR="00C75D2C">
        <w:t>olicy Background</w:t>
      </w:r>
    </w:p>
    <w:p w14:paraId="337997AF" w14:textId="77777777" w:rsidR="00C75D2C" w:rsidRDefault="00C75D2C" w:rsidP="00C75D2C">
      <w:pPr>
        <w:rPr>
          <w:lang w:val="en-NZ"/>
        </w:rPr>
      </w:pPr>
      <w:r>
        <w:rPr>
          <w:lang w:val="en-NZ"/>
        </w:rPr>
        <w:t>MHV’s Constitution</w:t>
      </w:r>
      <w:r w:rsidRPr="004F493B">
        <w:rPr>
          <w:lang w:val="en-NZ"/>
        </w:rPr>
        <w:t xml:space="preserve"> provides that the </w:t>
      </w:r>
      <w:r>
        <w:rPr>
          <w:lang w:val="en-NZ"/>
        </w:rPr>
        <w:t>C</w:t>
      </w:r>
      <w:r w:rsidRPr="004F493B">
        <w:rPr>
          <w:lang w:val="en-NZ"/>
        </w:rPr>
        <w:t>ompany may agree to a transfer of shares</w:t>
      </w:r>
      <w:r w:rsidR="009725DD">
        <w:rPr>
          <w:lang w:val="en-NZ"/>
        </w:rPr>
        <w:t>,</w:t>
      </w:r>
      <w:r w:rsidR="00B450AD">
        <w:rPr>
          <w:lang w:val="en-NZ"/>
        </w:rPr>
        <w:t xml:space="preserve"> for example,</w:t>
      </w:r>
      <w:r>
        <w:rPr>
          <w:lang w:val="en-NZ"/>
        </w:rPr>
        <w:t xml:space="preserve"> upon sale of a shareholder</w:t>
      </w:r>
      <w:r w:rsidR="00E45DD2">
        <w:rPr>
          <w:lang w:val="en-NZ"/>
        </w:rPr>
        <w:t>’</w:t>
      </w:r>
      <w:r>
        <w:rPr>
          <w:lang w:val="en-NZ"/>
        </w:rPr>
        <w:t>s property</w:t>
      </w:r>
      <w:r w:rsidR="00B450AD">
        <w:rPr>
          <w:lang w:val="en-NZ"/>
        </w:rPr>
        <w:t xml:space="preserve">, or exchange of ownership (e.g. to trust or another family member.)  Approval is at the discretion of the Board of MHV, should be in the best interests of the Company, and be in accordance with any policy determined by the Board. </w:t>
      </w:r>
    </w:p>
    <w:p w14:paraId="5ABCE87E" w14:textId="77777777" w:rsidR="00C75D2C" w:rsidRDefault="00C75D2C" w:rsidP="00C75D2C">
      <w:pPr>
        <w:rPr>
          <w:lang w:val="en-NZ"/>
        </w:rPr>
      </w:pPr>
      <w:r>
        <w:rPr>
          <w:lang w:val="en-NZ"/>
        </w:rPr>
        <w:t xml:space="preserve">The Water Supply Agreement includes terms and conditions </w:t>
      </w:r>
      <w:r w:rsidR="00E45DD2">
        <w:rPr>
          <w:lang w:val="en-NZ"/>
        </w:rPr>
        <w:t>which</w:t>
      </w:r>
      <w:r>
        <w:rPr>
          <w:lang w:val="en-NZ"/>
        </w:rPr>
        <w:t xml:space="preserve"> provide for the Company to work within the</w:t>
      </w:r>
      <w:r w:rsidR="00972378">
        <w:rPr>
          <w:lang w:val="en-NZ"/>
        </w:rPr>
        <w:t xml:space="preserve"> environmental</w:t>
      </w:r>
      <w:r>
        <w:rPr>
          <w:lang w:val="en-NZ"/>
        </w:rPr>
        <w:t xml:space="preserve"> </w:t>
      </w:r>
      <w:r w:rsidR="00972378">
        <w:rPr>
          <w:lang w:val="en-NZ"/>
        </w:rPr>
        <w:t>conditions of our Consents, specifically regard</w:t>
      </w:r>
      <w:r w:rsidR="00615EA5">
        <w:rPr>
          <w:lang w:val="en-NZ"/>
        </w:rPr>
        <w:t>ing</w:t>
      </w:r>
      <w:r w:rsidR="00972378">
        <w:rPr>
          <w:lang w:val="en-NZ"/>
        </w:rPr>
        <w:t xml:space="preserve"> </w:t>
      </w:r>
      <w:r w:rsidR="00E45DD2">
        <w:rPr>
          <w:lang w:val="en-NZ"/>
        </w:rPr>
        <w:t>N</w:t>
      </w:r>
      <w:r w:rsidR="00972378">
        <w:rPr>
          <w:lang w:val="en-NZ"/>
        </w:rPr>
        <w:t xml:space="preserve">utrient </w:t>
      </w:r>
      <w:r w:rsidR="00E45DD2">
        <w:rPr>
          <w:lang w:val="en-NZ"/>
        </w:rPr>
        <w:t>M</w:t>
      </w:r>
      <w:r w:rsidR="00972378">
        <w:rPr>
          <w:lang w:val="en-NZ"/>
        </w:rPr>
        <w:t xml:space="preserve">anagement, Farm Environment Plans, audited self-management and the provision of nutrient budgets. </w:t>
      </w:r>
      <w:r>
        <w:rPr>
          <w:lang w:val="en-NZ"/>
        </w:rPr>
        <w:t xml:space="preserve"> </w:t>
      </w:r>
    </w:p>
    <w:p w14:paraId="1C301466" w14:textId="77777777" w:rsidR="00B450AD" w:rsidRDefault="00B450AD" w:rsidP="00C75D2C">
      <w:pPr>
        <w:rPr>
          <w:lang w:val="en-NZ"/>
        </w:rPr>
      </w:pPr>
      <w:r>
        <w:rPr>
          <w:lang w:val="en-NZ"/>
        </w:rPr>
        <w:t>Any request to transfer shares must meet certain criteria before it will be approved.</w:t>
      </w:r>
    </w:p>
    <w:p w14:paraId="7B8B52BC" w14:textId="77777777" w:rsidR="00EC6BBB" w:rsidRPr="007950B6" w:rsidRDefault="00C75D2C" w:rsidP="007950B6">
      <w:pPr>
        <w:pStyle w:val="Heading1"/>
      </w:pPr>
      <w:r>
        <w:t>P</w:t>
      </w:r>
      <w:r w:rsidR="00080095">
        <w:t>urpose</w:t>
      </w:r>
    </w:p>
    <w:p w14:paraId="2AF1F3A7" w14:textId="5CA6D9A6" w:rsidR="004F493B" w:rsidRPr="004F493B" w:rsidRDefault="00C75D2C" w:rsidP="004F493B">
      <w:pPr>
        <w:rPr>
          <w:lang w:val="en-NZ"/>
        </w:rPr>
      </w:pPr>
      <w:r w:rsidRPr="00C75D2C">
        <w:rPr>
          <w:lang w:val="en-NZ"/>
        </w:rPr>
        <w:t xml:space="preserve">The purpose of this policy is to </w:t>
      </w:r>
      <w:r w:rsidR="00972378">
        <w:rPr>
          <w:lang w:val="en-NZ"/>
        </w:rPr>
        <w:t>define</w:t>
      </w:r>
      <w:r w:rsidR="004F493B">
        <w:rPr>
          <w:lang w:val="en-NZ"/>
        </w:rPr>
        <w:t xml:space="preserve"> the Company’s requirements relating to the transfer of shares and provision of information, </w:t>
      </w:r>
      <w:r w:rsidR="00BB513C">
        <w:rPr>
          <w:lang w:val="en-NZ"/>
        </w:rPr>
        <w:t>to</w:t>
      </w:r>
      <w:r w:rsidR="00B450AD">
        <w:rPr>
          <w:lang w:val="en-NZ"/>
        </w:rPr>
        <w:t xml:space="preserve"> </w:t>
      </w:r>
      <w:r w:rsidR="004F493B">
        <w:rPr>
          <w:lang w:val="en-NZ"/>
        </w:rPr>
        <w:t>avoid delaying or refusing</w:t>
      </w:r>
      <w:r w:rsidR="00916C41">
        <w:rPr>
          <w:lang w:val="en-NZ"/>
        </w:rPr>
        <w:t xml:space="preserve"> an</w:t>
      </w:r>
      <w:r w:rsidR="004F493B">
        <w:rPr>
          <w:lang w:val="en-NZ"/>
        </w:rPr>
        <w:t xml:space="preserve"> application to transfer shares following settlement due to a lack of information provided by either the shareholder or the purchaser. </w:t>
      </w:r>
    </w:p>
    <w:p w14:paraId="1F1D232A" w14:textId="77777777" w:rsidR="00DA0DFA" w:rsidRDefault="00DA0DFA" w:rsidP="00DA0DFA">
      <w:pPr>
        <w:pStyle w:val="Heading1"/>
      </w:pPr>
      <w:r>
        <w:t>Scope</w:t>
      </w:r>
    </w:p>
    <w:p w14:paraId="3BDABF66" w14:textId="77777777" w:rsidR="00DA0DFA" w:rsidRDefault="004F493B" w:rsidP="00DA0DFA">
      <w:pPr>
        <w:rPr>
          <w:lang w:val="en-US"/>
        </w:rPr>
      </w:pPr>
      <w:r>
        <w:rPr>
          <w:lang w:val="en-US"/>
        </w:rPr>
        <w:t>This pol</w:t>
      </w:r>
      <w:r w:rsidR="008525BA">
        <w:rPr>
          <w:lang w:val="en-US"/>
        </w:rPr>
        <w:t xml:space="preserve">icy applies to anyone wishing to transfer their shares in MHV, and to the Management and Board of MHV </w:t>
      </w:r>
      <w:r w:rsidR="00E45DD2">
        <w:rPr>
          <w:lang w:val="en-US"/>
        </w:rPr>
        <w:t xml:space="preserve">when </w:t>
      </w:r>
      <w:r w:rsidR="0050779C">
        <w:rPr>
          <w:lang w:val="en-US"/>
        </w:rPr>
        <w:t>deciding</w:t>
      </w:r>
      <w:r w:rsidR="00972378">
        <w:rPr>
          <w:lang w:val="en-US"/>
        </w:rPr>
        <w:t xml:space="preserve"> </w:t>
      </w:r>
      <w:r w:rsidR="008525BA">
        <w:rPr>
          <w:lang w:val="en-US"/>
        </w:rPr>
        <w:t>whether to approve or deny an application for share transfer.</w:t>
      </w:r>
      <w:r w:rsidR="00B450AD">
        <w:rPr>
          <w:lang w:val="en-US"/>
        </w:rPr>
        <w:t xml:space="preserve">  </w:t>
      </w:r>
      <w:proofErr w:type="gramStart"/>
      <w:r w:rsidR="00B450AD">
        <w:rPr>
          <w:lang w:val="en-US"/>
        </w:rPr>
        <w:t>Specifically</w:t>
      </w:r>
      <w:proofErr w:type="gramEnd"/>
      <w:r w:rsidR="00B450AD">
        <w:rPr>
          <w:lang w:val="en-US"/>
        </w:rPr>
        <w:t xml:space="preserve"> it is relevant in the following two scenarios:</w:t>
      </w:r>
    </w:p>
    <w:p w14:paraId="51ED8E49" w14:textId="45062F36" w:rsidR="009725DD" w:rsidRDefault="009725DD" w:rsidP="009725DD">
      <w:pPr>
        <w:pStyle w:val="ListParagraph"/>
        <w:numPr>
          <w:ilvl w:val="0"/>
          <w:numId w:val="14"/>
        </w:numPr>
        <w:rPr>
          <w:lang w:val="en-US"/>
        </w:rPr>
      </w:pPr>
      <w:r>
        <w:rPr>
          <w:lang w:val="en-US"/>
        </w:rPr>
        <w:t>Sale/Purchase of Land and Shares</w:t>
      </w:r>
      <w:r w:rsidR="00FE4916">
        <w:rPr>
          <w:lang w:val="en-US"/>
        </w:rPr>
        <w:t>, where the beneficiary materially changes</w:t>
      </w:r>
    </w:p>
    <w:p w14:paraId="21786562" w14:textId="77777777" w:rsidR="009725DD" w:rsidRPr="009725DD" w:rsidRDefault="009725DD" w:rsidP="00B450AD">
      <w:pPr>
        <w:pStyle w:val="ListParagraph"/>
        <w:numPr>
          <w:ilvl w:val="0"/>
          <w:numId w:val="14"/>
        </w:numPr>
        <w:rPr>
          <w:lang w:val="en-US"/>
        </w:rPr>
      </w:pPr>
      <w:r>
        <w:rPr>
          <w:lang w:val="en-US"/>
        </w:rPr>
        <w:t xml:space="preserve">And/or leasing of land with shares </w:t>
      </w:r>
    </w:p>
    <w:p w14:paraId="22D6126E" w14:textId="77777777" w:rsidR="00DA0DFA" w:rsidRDefault="00DA0DFA" w:rsidP="00DA0DFA">
      <w:pPr>
        <w:pStyle w:val="Heading1"/>
      </w:pPr>
      <w:r>
        <w:t>Policy Details</w:t>
      </w:r>
    </w:p>
    <w:p w14:paraId="098DD7C9" w14:textId="77777777" w:rsidR="000422DF" w:rsidRDefault="000422DF" w:rsidP="000422DF">
      <w:pPr>
        <w:pStyle w:val="Heading2"/>
      </w:pPr>
      <w:r>
        <w:t>Timing</w:t>
      </w:r>
    </w:p>
    <w:p w14:paraId="219BFAFC" w14:textId="77777777" w:rsidR="000422DF" w:rsidRDefault="00DC2D2F" w:rsidP="00DC2D2F">
      <w:r>
        <w:t xml:space="preserve">Shareholders wishing to transfer shares, and purchasers or lessees wishing to take a transfer of shares, must make enquiries with the Company as to any specific requirements in respect of the transfer of shares prior to the settlement date.  </w:t>
      </w:r>
    </w:p>
    <w:p w14:paraId="77F85B87" w14:textId="77777777" w:rsidR="00DC2D2F" w:rsidRDefault="00DC2D2F" w:rsidP="00DC2D2F">
      <w:r>
        <w:t>Shareholders and purchasers or lessees may seek pre-approval from the Company setting out specific information and any remedial action required by the Company prior to the transfer of shares being approved.</w:t>
      </w:r>
    </w:p>
    <w:p w14:paraId="0DDC3CE9" w14:textId="77777777" w:rsidR="00DC2D2F" w:rsidRDefault="00DC2D2F" w:rsidP="00DC2D2F"/>
    <w:p w14:paraId="55197BA7" w14:textId="77777777" w:rsidR="008525BA" w:rsidRDefault="000D0E5F" w:rsidP="00EC6BBB">
      <w:pPr>
        <w:pStyle w:val="Heading2"/>
      </w:pPr>
      <w:r>
        <w:t>Compliance with Water Agreement</w:t>
      </w:r>
    </w:p>
    <w:p w14:paraId="4DA99AAC" w14:textId="77777777" w:rsidR="008525BA" w:rsidRDefault="001133DE" w:rsidP="008525BA">
      <w:r>
        <w:t xml:space="preserve">Before a request to transfer shares is approved, the Company must be satisfied that there are no </w:t>
      </w:r>
      <w:r w:rsidR="008525BA">
        <w:t>material non-compliances with the Water Supply Agreement or Company policies</w:t>
      </w:r>
      <w:r w:rsidR="00141649">
        <w:t xml:space="preserve">. This specifically includes, but may not be limited to, </w:t>
      </w:r>
      <w:r w:rsidR="008525BA">
        <w:t>the management of nutrients including</w:t>
      </w:r>
      <w:r w:rsidR="00916C41">
        <w:t xml:space="preserve"> any</w:t>
      </w:r>
      <w:r w:rsidR="008525BA">
        <w:t xml:space="preserve"> outstanding remedial action. </w:t>
      </w:r>
    </w:p>
    <w:p w14:paraId="7E9F8CA0" w14:textId="77777777" w:rsidR="005475AF" w:rsidRDefault="005475AF" w:rsidP="005475AF">
      <w:pPr>
        <w:pStyle w:val="Heading2"/>
      </w:pPr>
      <w:r>
        <w:t xml:space="preserve">Land Use </w:t>
      </w:r>
    </w:p>
    <w:p w14:paraId="49E2D5A7" w14:textId="77777777" w:rsidR="009229F7" w:rsidRDefault="008525BA" w:rsidP="008525BA">
      <w:r>
        <w:t>Where the Purchaser</w:t>
      </w:r>
      <w:r w:rsidR="001133DE">
        <w:t>/Lessee</w:t>
      </w:r>
      <w:r>
        <w:t xml:space="preserve"> wishes to change land use or change </w:t>
      </w:r>
      <w:r w:rsidR="003E750D">
        <w:t>nutrient discharge</w:t>
      </w:r>
      <w:r>
        <w:t xml:space="preserve"> on the property, the Purchaser or Lessee shall</w:t>
      </w:r>
      <w:r w:rsidR="001133DE">
        <w:t xml:space="preserve"> seek advice from the Environmental Manager to ensure compliance with all environmental policies.  Usually this will involve following </w:t>
      </w:r>
      <w:r w:rsidR="006A223A">
        <w:t xml:space="preserve">the FAVA </w:t>
      </w:r>
      <w:r w:rsidR="00141649">
        <w:t xml:space="preserve">(Farm Activity Variation Application) </w:t>
      </w:r>
      <w:r w:rsidR="006A223A">
        <w:t xml:space="preserve">process </w:t>
      </w:r>
      <w:r>
        <w:t xml:space="preserve">before a request to transfer shares is submitted to the Board. </w:t>
      </w:r>
    </w:p>
    <w:p w14:paraId="55270D32" w14:textId="1D112C16" w:rsidR="00C75D2C" w:rsidRDefault="00C75D2C" w:rsidP="00C75D2C">
      <w:pPr>
        <w:pStyle w:val="Heading2"/>
      </w:pPr>
      <w:r>
        <w:t>Provision of Information</w:t>
      </w:r>
    </w:p>
    <w:p w14:paraId="5632236F" w14:textId="77777777" w:rsidR="00944211" w:rsidRDefault="008525BA" w:rsidP="008525BA">
      <w:r>
        <w:t xml:space="preserve">The Company </w:t>
      </w:r>
      <w:r w:rsidR="00DC2D2F">
        <w:t>requires</w:t>
      </w:r>
      <w:r>
        <w:t xml:space="preserve"> certain information to be provided with any request to transfer shares so that </w:t>
      </w:r>
      <w:r w:rsidR="00944211">
        <w:t xml:space="preserve">adherence to the land use and nutrient discharge consent can be </w:t>
      </w:r>
      <w:r w:rsidR="00DC2D2F">
        <w:t>achieved</w:t>
      </w:r>
      <w:r w:rsidR="00944211">
        <w:t xml:space="preserve">. </w:t>
      </w:r>
    </w:p>
    <w:p w14:paraId="5C864538" w14:textId="77777777" w:rsidR="008525BA" w:rsidRPr="00944211" w:rsidRDefault="00944211" w:rsidP="00DC2D2F">
      <w:pPr>
        <w:ind w:left="720" w:hanging="720"/>
      </w:pPr>
      <w:r>
        <w:t>Such information shall include, but may not be limited to:</w:t>
      </w:r>
    </w:p>
    <w:p w14:paraId="0D4C1EDF" w14:textId="3A9B6E00" w:rsidR="00556929" w:rsidRDefault="00556929" w:rsidP="00D23E15">
      <w:pPr>
        <w:pStyle w:val="ListParagraph"/>
        <w:numPr>
          <w:ilvl w:val="0"/>
          <w:numId w:val="13"/>
        </w:numPr>
      </w:pPr>
      <w:r>
        <w:t>An updated FEP shall be provided by the new owner/lessee within 90 days of a share transfer being undertaken.</w:t>
      </w:r>
    </w:p>
    <w:p w14:paraId="5D986A80" w14:textId="77777777" w:rsidR="00E45DD2" w:rsidRDefault="00E45DD2" w:rsidP="00E45DD2">
      <w:pPr>
        <w:pStyle w:val="ListParagraph"/>
      </w:pPr>
    </w:p>
    <w:p w14:paraId="3B3A8C4A" w14:textId="79BE21D9" w:rsidR="008525BA" w:rsidRDefault="00A25A5E" w:rsidP="00D23E15">
      <w:pPr>
        <w:pStyle w:val="ListParagraph"/>
        <w:numPr>
          <w:ilvl w:val="0"/>
          <w:numId w:val="13"/>
        </w:numPr>
      </w:pPr>
      <w:r>
        <w:t>The</w:t>
      </w:r>
      <w:r w:rsidR="008525BA">
        <w:t xml:space="preserve"> vendor or lessor shall provide an updated Year-End OVERSEER nutrient budget, representative of nutrient losses for the most recent season prior to transfer of the property to the purchaser. All OVERSEER nutrient budgets are to be prepared by a suitably qualified person, in accordance with the Best Practice Data Input Standards and the </w:t>
      </w:r>
      <w:proofErr w:type="spellStart"/>
      <w:r w:rsidR="008525BA">
        <w:t>Irrigo</w:t>
      </w:r>
      <w:proofErr w:type="spellEnd"/>
      <w:r w:rsidR="008525BA">
        <w:t xml:space="preserve"> Nutrient Budget Consistency Standards. SDWA nutrient budgets prepared by </w:t>
      </w:r>
      <w:proofErr w:type="spellStart"/>
      <w:r w:rsidR="008525BA">
        <w:t>Synlait</w:t>
      </w:r>
      <w:proofErr w:type="spellEnd"/>
      <w:r w:rsidR="008525BA">
        <w:t xml:space="preserve"> or Fonterra do not necessary meet the required standard and may not be accepted.   If only part of the property is being sold an OVERSEER nutrient budget will need to be completed (and approved) for each part of the property under separate management or farming system. </w:t>
      </w:r>
    </w:p>
    <w:p w14:paraId="5024B9EA" w14:textId="77777777" w:rsidR="00E45DD2" w:rsidRDefault="00E45DD2" w:rsidP="00E45DD2">
      <w:pPr>
        <w:pStyle w:val="ListParagraph"/>
      </w:pPr>
    </w:p>
    <w:p w14:paraId="2BFD2757" w14:textId="77777777" w:rsidR="008525BA" w:rsidRDefault="008525BA" w:rsidP="00D23E15">
      <w:pPr>
        <w:pStyle w:val="ListParagraph"/>
        <w:numPr>
          <w:ilvl w:val="0"/>
          <w:numId w:val="13"/>
        </w:numPr>
      </w:pPr>
      <w:r>
        <w:t xml:space="preserve">Where the property is transferred mid-season, the vendor or lessor shall provide the purchaser or lessee with the Year-End OVERSEER nutrient budget for the most recent whole season, as well as </w:t>
      </w:r>
      <w:proofErr w:type="gramStart"/>
      <w:r>
        <w:t>sufficient</w:t>
      </w:r>
      <w:proofErr w:type="gramEnd"/>
      <w:r>
        <w:t xml:space="preserve"> land use data until the date of transfer for the purchaser to complete a Year-End nutrient budget for the current season. </w:t>
      </w:r>
    </w:p>
    <w:p w14:paraId="29DB0C93" w14:textId="77777777" w:rsidR="00E45DD2" w:rsidRDefault="00E45DD2" w:rsidP="00E45DD2">
      <w:pPr>
        <w:pStyle w:val="ListParagraph"/>
      </w:pPr>
    </w:p>
    <w:p w14:paraId="537E2051" w14:textId="77777777" w:rsidR="008525BA" w:rsidRDefault="008525BA" w:rsidP="00D23E15">
      <w:pPr>
        <w:pStyle w:val="ListParagraph"/>
        <w:numPr>
          <w:ilvl w:val="0"/>
          <w:numId w:val="13"/>
        </w:numPr>
      </w:pPr>
      <w:r>
        <w:t>Confirmation that no land use change or change to the farming system will occur prior to the date of the proposed transfer.</w:t>
      </w:r>
    </w:p>
    <w:p w14:paraId="28AAB71E" w14:textId="77777777" w:rsidR="00E45DD2" w:rsidRDefault="00E45DD2" w:rsidP="00E45DD2">
      <w:pPr>
        <w:pStyle w:val="ListParagraph"/>
      </w:pPr>
    </w:p>
    <w:p w14:paraId="383FBEC2" w14:textId="77777777" w:rsidR="008525BA" w:rsidRDefault="008525BA" w:rsidP="00D23E15">
      <w:pPr>
        <w:pStyle w:val="ListParagraph"/>
        <w:numPr>
          <w:ilvl w:val="0"/>
          <w:numId w:val="13"/>
        </w:numPr>
      </w:pPr>
      <w:r>
        <w:t xml:space="preserve">Confirmation that any remedial actions required by the Company have been completed or will be completed by the Shareholder prior to the date of the proposed transfer, or where it is proposed that the </w:t>
      </w:r>
      <w:r>
        <w:lastRenderedPageBreak/>
        <w:t>purchaser or lessee complete any remedial action, a written acknowledgement from the purchaser or lessee that the purchaser or lessee will complete the remedial action.</w:t>
      </w:r>
    </w:p>
    <w:p w14:paraId="0085EF8C" w14:textId="77777777" w:rsidR="00E45DD2" w:rsidRDefault="00E45DD2" w:rsidP="00E45DD2">
      <w:pPr>
        <w:pStyle w:val="ListParagraph"/>
      </w:pPr>
    </w:p>
    <w:p w14:paraId="2D4383E2" w14:textId="77777777" w:rsidR="008525BA" w:rsidRDefault="008525BA" w:rsidP="00D23E15">
      <w:pPr>
        <w:pStyle w:val="ListParagraph"/>
        <w:numPr>
          <w:ilvl w:val="0"/>
          <w:numId w:val="13"/>
        </w:numPr>
      </w:pPr>
      <w:r>
        <w:t>Shareholder authorisation to release audit reports, nutrient budgets, Farm Environment Plans and or related information for the property to the purchaser or lessee.</w:t>
      </w:r>
    </w:p>
    <w:p w14:paraId="12274D85" w14:textId="2DF9F418" w:rsidR="00E45DD2" w:rsidRDefault="00FE4916" w:rsidP="008525BA">
      <w:r>
        <w:t xml:space="preserve">For the avoidance of doubt, any sale of shares where the beneficiary does not materially change, </w:t>
      </w:r>
      <w:proofErr w:type="spellStart"/>
      <w:r>
        <w:t>ie</w:t>
      </w:r>
      <w:proofErr w:type="spellEnd"/>
      <w:r>
        <w:t xml:space="preserve"> a change of Trust but the beneficiaries are not materially changed, is not required to follow this process or seek Board Approval. In these </w:t>
      </w:r>
      <w:proofErr w:type="gramStart"/>
      <w:r>
        <w:t>situations</w:t>
      </w:r>
      <w:proofErr w:type="gramEnd"/>
      <w:r>
        <w:t xml:space="preserve"> we are required to be advised of the change to facilitate the transfer of shares. </w:t>
      </w:r>
    </w:p>
    <w:p w14:paraId="08D5B32F" w14:textId="77777777" w:rsidR="00A3198D" w:rsidRDefault="00DA0DFA" w:rsidP="00A3198D">
      <w:pPr>
        <w:pStyle w:val="Heading1"/>
      </w:pPr>
      <w:r>
        <w:t>Review and Sign Off</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1"/>
        <w:gridCol w:w="1938"/>
        <w:gridCol w:w="1255"/>
        <w:gridCol w:w="1484"/>
        <w:gridCol w:w="1482"/>
        <w:gridCol w:w="2326"/>
      </w:tblGrid>
      <w:tr w:rsidR="00D2074F" w:rsidRPr="00D2074F" w14:paraId="3C95623C" w14:textId="77777777" w:rsidTr="00D2074F">
        <w:tc>
          <w:tcPr>
            <w:tcW w:w="1242" w:type="dxa"/>
            <w:shd w:val="clear" w:color="auto" w:fill="85B2F6" w:themeFill="background2" w:themeFillShade="E6"/>
          </w:tcPr>
          <w:p w14:paraId="0947D553" w14:textId="77777777" w:rsidR="00A3198D" w:rsidRPr="00D2074F" w:rsidRDefault="00A3198D" w:rsidP="009229F7">
            <w:pPr>
              <w:spacing w:after="0"/>
              <w:rPr>
                <w:b/>
                <w:color w:val="auto"/>
                <w:szCs w:val="22"/>
              </w:rPr>
            </w:pPr>
            <w:r w:rsidRPr="00D2074F">
              <w:rPr>
                <w:b/>
                <w:color w:val="auto"/>
                <w:szCs w:val="22"/>
              </w:rPr>
              <w:t xml:space="preserve">Revision </w:t>
            </w:r>
          </w:p>
        </w:tc>
        <w:tc>
          <w:tcPr>
            <w:tcW w:w="1985" w:type="dxa"/>
            <w:shd w:val="clear" w:color="auto" w:fill="85B2F6" w:themeFill="background2" w:themeFillShade="E6"/>
          </w:tcPr>
          <w:p w14:paraId="23CF98AC" w14:textId="77777777" w:rsidR="00A3198D" w:rsidRPr="00D2074F" w:rsidRDefault="00A3198D" w:rsidP="009229F7">
            <w:pPr>
              <w:spacing w:after="0"/>
              <w:rPr>
                <w:b/>
                <w:color w:val="auto"/>
                <w:szCs w:val="22"/>
              </w:rPr>
            </w:pPr>
            <w:r w:rsidRPr="00D2074F">
              <w:rPr>
                <w:b/>
                <w:color w:val="auto"/>
                <w:szCs w:val="22"/>
              </w:rPr>
              <w:t>Status</w:t>
            </w:r>
          </w:p>
        </w:tc>
        <w:tc>
          <w:tcPr>
            <w:tcW w:w="1280" w:type="dxa"/>
            <w:shd w:val="clear" w:color="auto" w:fill="85B2F6" w:themeFill="background2" w:themeFillShade="E6"/>
          </w:tcPr>
          <w:p w14:paraId="6E20D390" w14:textId="77777777" w:rsidR="00A3198D" w:rsidRPr="00D2074F" w:rsidRDefault="00A3198D" w:rsidP="009229F7">
            <w:pPr>
              <w:spacing w:after="0"/>
              <w:rPr>
                <w:b/>
                <w:color w:val="auto"/>
                <w:szCs w:val="22"/>
              </w:rPr>
            </w:pPr>
            <w:r w:rsidRPr="00D2074F">
              <w:rPr>
                <w:b/>
                <w:color w:val="auto"/>
                <w:szCs w:val="22"/>
              </w:rPr>
              <w:t>Date</w:t>
            </w:r>
          </w:p>
        </w:tc>
        <w:tc>
          <w:tcPr>
            <w:tcW w:w="1503" w:type="dxa"/>
            <w:shd w:val="clear" w:color="auto" w:fill="85B2F6" w:themeFill="background2" w:themeFillShade="E6"/>
          </w:tcPr>
          <w:p w14:paraId="7C613208" w14:textId="77777777" w:rsidR="00A3198D" w:rsidRPr="00D2074F" w:rsidRDefault="00A3198D" w:rsidP="009229F7">
            <w:pPr>
              <w:spacing w:after="0"/>
              <w:rPr>
                <w:b/>
                <w:color w:val="auto"/>
                <w:szCs w:val="22"/>
              </w:rPr>
            </w:pPr>
            <w:r w:rsidRPr="00D2074F">
              <w:rPr>
                <w:b/>
                <w:color w:val="auto"/>
                <w:szCs w:val="22"/>
              </w:rPr>
              <w:t>Prepared by</w:t>
            </w:r>
          </w:p>
        </w:tc>
        <w:tc>
          <w:tcPr>
            <w:tcW w:w="1503" w:type="dxa"/>
            <w:shd w:val="clear" w:color="auto" w:fill="85B2F6" w:themeFill="background2" w:themeFillShade="E6"/>
          </w:tcPr>
          <w:p w14:paraId="37C96919" w14:textId="77777777" w:rsidR="00A3198D" w:rsidRPr="00D2074F" w:rsidRDefault="00A3198D" w:rsidP="009229F7">
            <w:pPr>
              <w:spacing w:after="0"/>
              <w:rPr>
                <w:b/>
                <w:color w:val="auto"/>
                <w:szCs w:val="22"/>
              </w:rPr>
            </w:pPr>
            <w:r w:rsidRPr="00D2074F">
              <w:rPr>
                <w:b/>
                <w:color w:val="auto"/>
                <w:szCs w:val="22"/>
              </w:rPr>
              <w:t>Checked</w:t>
            </w:r>
          </w:p>
        </w:tc>
        <w:tc>
          <w:tcPr>
            <w:tcW w:w="2376" w:type="dxa"/>
            <w:shd w:val="clear" w:color="auto" w:fill="85B2F6" w:themeFill="background2" w:themeFillShade="E6"/>
          </w:tcPr>
          <w:p w14:paraId="44D1B83A" w14:textId="77777777" w:rsidR="00A3198D" w:rsidRPr="00D2074F" w:rsidRDefault="00A3198D" w:rsidP="009229F7">
            <w:pPr>
              <w:spacing w:after="0"/>
              <w:rPr>
                <w:b/>
                <w:color w:val="auto"/>
                <w:szCs w:val="22"/>
              </w:rPr>
            </w:pPr>
            <w:r w:rsidRPr="00D2074F">
              <w:rPr>
                <w:b/>
                <w:color w:val="auto"/>
                <w:szCs w:val="22"/>
              </w:rPr>
              <w:t>Approved</w:t>
            </w:r>
          </w:p>
        </w:tc>
      </w:tr>
      <w:tr w:rsidR="00A3198D" w:rsidRPr="000F3038" w14:paraId="0DAA1D37" w14:textId="77777777" w:rsidTr="009B5450">
        <w:tc>
          <w:tcPr>
            <w:tcW w:w="1242" w:type="dxa"/>
          </w:tcPr>
          <w:p w14:paraId="49E6777B" w14:textId="77777777" w:rsidR="00A3198D" w:rsidRPr="000F3038" w:rsidRDefault="009B67E5" w:rsidP="009229F7">
            <w:pPr>
              <w:spacing w:before="240" w:after="0"/>
              <w:rPr>
                <w:szCs w:val="22"/>
              </w:rPr>
            </w:pPr>
            <w:r>
              <w:rPr>
                <w:szCs w:val="22"/>
              </w:rPr>
              <w:t>00</w:t>
            </w:r>
          </w:p>
        </w:tc>
        <w:tc>
          <w:tcPr>
            <w:tcW w:w="1985" w:type="dxa"/>
          </w:tcPr>
          <w:p w14:paraId="298281CD" w14:textId="77777777" w:rsidR="00A3198D" w:rsidRPr="000F3038" w:rsidRDefault="009B67E5" w:rsidP="009229F7">
            <w:pPr>
              <w:spacing w:before="240" w:after="0"/>
              <w:rPr>
                <w:szCs w:val="22"/>
              </w:rPr>
            </w:pPr>
            <w:r>
              <w:rPr>
                <w:szCs w:val="22"/>
              </w:rPr>
              <w:t>First Draft</w:t>
            </w:r>
          </w:p>
        </w:tc>
        <w:tc>
          <w:tcPr>
            <w:tcW w:w="1280" w:type="dxa"/>
          </w:tcPr>
          <w:p w14:paraId="0EBA6054" w14:textId="77777777" w:rsidR="00A3198D" w:rsidRPr="000F3038" w:rsidRDefault="00916C41" w:rsidP="009229F7">
            <w:pPr>
              <w:spacing w:before="240" w:after="0"/>
              <w:rPr>
                <w:szCs w:val="22"/>
              </w:rPr>
            </w:pPr>
            <w:r>
              <w:rPr>
                <w:szCs w:val="22"/>
              </w:rPr>
              <w:t>May</w:t>
            </w:r>
            <w:r w:rsidR="009B67E5">
              <w:rPr>
                <w:szCs w:val="22"/>
              </w:rPr>
              <w:t xml:space="preserve"> 18</w:t>
            </w:r>
          </w:p>
        </w:tc>
        <w:tc>
          <w:tcPr>
            <w:tcW w:w="1503" w:type="dxa"/>
          </w:tcPr>
          <w:p w14:paraId="1F0E3B9A" w14:textId="77777777" w:rsidR="00A3198D" w:rsidRPr="000F3038" w:rsidRDefault="009B67E5" w:rsidP="009229F7">
            <w:pPr>
              <w:spacing w:before="240" w:after="0"/>
              <w:rPr>
                <w:szCs w:val="22"/>
              </w:rPr>
            </w:pPr>
            <w:r>
              <w:rPr>
                <w:szCs w:val="22"/>
              </w:rPr>
              <w:t>FM</w:t>
            </w:r>
          </w:p>
        </w:tc>
        <w:tc>
          <w:tcPr>
            <w:tcW w:w="1503" w:type="dxa"/>
          </w:tcPr>
          <w:p w14:paraId="0011488F" w14:textId="63EE164A" w:rsidR="00A3198D" w:rsidRPr="000F3038" w:rsidRDefault="00A3198D" w:rsidP="009229F7">
            <w:pPr>
              <w:spacing w:before="240" w:after="0"/>
              <w:rPr>
                <w:szCs w:val="22"/>
              </w:rPr>
            </w:pPr>
          </w:p>
        </w:tc>
        <w:tc>
          <w:tcPr>
            <w:tcW w:w="2376" w:type="dxa"/>
          </w:tcPr>
          <w:p w14:paraId="32193F9C" w14:textId="6D39A35C" w:rsidR="00A3198D" w:rsidRPr="000F3038" w:rsidRDefault="00B3685A" w:rsidP="009229F7">
            <w:pPr>
              <w:spacing w:before="240" w:after="0"/>
              <w:rPr>
                <w:szCs w:val="22"/>
              </w:rPr>
            </w:pPr>
            <w:r>
              <w:rPr>
                <w:szCs w:val="22"/>
              </w:rPr>
              <w:t>Board June 2018</w:t>
            </w:r>
          </w:p>
        </w:tc>
      </w:tr>
      <w:tr w:rsidR="00A3198D" w:rsidRPr="000F3038" w14:paraId="0901EE93" w14:textId="77777777" w:rsidTr="009B5450">
        <w:tc>
          <w:tcPr>
            <w:tcW w:w="1242" w:type="dxa"/>
          </w:tcPr>
          <w:p w14:paraId="522F8A6A" w14:textId="77777777" w:rsidR="00A3198D" w:rsidRPr="000F3038" w:rsidRDefault="00A3198D" w:rsidP="009229F7">
            <w:pPr>
              <w:spacing w:before="240" w:after="0"/>
              <w:rPr>
                <w:szCs w:val="22"/>
              </w:rPr>
            </w:pPr>
          </w:p>
        </w:tc>
        <w:tc>
          <w:tcPr>
            <w:tcW w:w="1985" w:type="dxa"/>
          </w:tcPr>
          <w:p w14:paraId="04DDF0A2" w14:textId="77777777" w:rsidR="00A3198D" w:rsidRPr="000F3038" w:rsidRDefault="00A3198D" w:rsidP="009229F7">
            <w:pPr>
              <w:spacing w:before="240" w:after="0"/>
              <w:rPr>
                <w:szCs w:val="22"/>
              </w:rPr>
            </w:pPr>
          </w:p>
        </w:tc>
        <w:tc>
          <w:tcPr>
            <w:tcW w:w="1280" w:type="dxa"/>
          </w:tcPr>
          <w:p w14:paraId="51652E73" w14:textId="77777777" w:rsidR="00A3198D" w:rsidRPr="000F3038" w:rsidRDefault="00A3198D" w:rsidP="009229F7">
            <w:pPr>
              <w:spacing w:before="240" w:after="0"/>
              <w:rPr>
                <w:szCs w:val="22"/>
              </w:rPr>
            </w:pPr>
          </w:p>
        </w:tc>
        <w:tc>
          <w:tcPr>
            <w:tcW w:w="1503" w:type="dxa"/>
          </w:tcPr>
          <w:p w14:paraId="31B3C313" w14:textId="77777777" w:rsidR="00A3198D" w:rsidRPr="000F3038" w:rsidRDefault="00A3198D" w:rsidP="009229F7">
            <w:pPr>
              <w:spacing w:before="240" w:after="0"/>
              <w:rPr>
                <w:szCs w:val="22"/>
              </w:rPr>
            </w:pPr>
          </w:p>
        </w:tc>
        <w:tc>
          <w:tcPr>
            <w:tcW w:w="1503" w:type="dxa"/>
          </w:tcPr>
          <w:p w14:paraId="584F8CD0" w14:textId="77777777" w:rsidR="00A3198D" w:rsidRPr="000F3038" w:rsidRDefault="00A3198D" w:rsidP="009229F7">
            <w:pPr>
              <w:spacing w:before="240" w:after="0"/>
              <w:rPr>
                <w:szCs w:val="22"/>
              </w:rPr>
            </w:pPr>
          </w:p>
        </w:tc>
        <w:tc>
          <w:tcPr>
            <w:tcW w:w="2376" w:type="dxa"/>
          </w:tcPr>
          <w:p w14:paraId="7ED9EA64" w14:textId="77777777" w:rsidR="00A3198D" w:rsidRPr="000F3038" w:rsidRDefault="00A3198D" w:rsidP="009229F7">
            <w:pPr>
              <w:spacing w:before="240" w:after="0"/>
              <w:rPr>
                <w:szCs w:val="22"/>
              </w:rPr>
            </w:pPr>
          </w:p>
        </w:tc>
      </w:tr>
      <w:tr w:rsidR="00A3198D" w:rsidRPr="000F3038" w14:paraId="42C4A640" w14:textId="77777777" w:rsidTr="009B5450">
        <w:tc>
          <w:tcPr>
            <w:tcW w:w="1242" w:type="dxa"/>
          </w:tcPr>
          <w:p w14:paraId="2A2A34C7" w14:textId="77777777" w:rsidR="00A3198D" w:rsidRPr="000F3038" w:rsidRDefault="00A3198D" w:rsidP="009229F7">
            <w:pPr>
              <w:spacing w:before="240" w:after="0"/>
              <w:rPr>
                <w:szCs w:val="22"/>
              </w:rPr>
            </w:pPr>
          </w:p>
        </w:tc>
        <w:tc>
          <w:tcPr>
            <w:tcW w:w="1985" w:type="dxa"/>
          </w:tcPr>
          <w:p w14:paraId="303772B0" w14:textId="77777777" w:rsidR="00A3198D" w:rsidRPr="000F3038" w:rsidRDefault="00A3198D" w:rsidP="009229F7">
            <w:pPr>
              <w:spacing w:before="240" w:after="0"/>
              <w:rPr>
                <w:szCs w:val="22"/>
              </w:rPr>
            </w:pPr>
          </w:p>
        </w:tc>
        <w:tc>
          <w:tcPr>
            <w:tcW w:w="1280" w:type="dxa"/>
          </w:tcPr>
          <w:p w14:paraId="5A378CD9" w14:textId="77777777" w:rsidR="00A3198D" w:rsidRPr="000F3038" w:rsidRDefault="00A3198D" w:rsidP="009229F7">
            <w:pPr>
              <w:spacing w:before="240" w:after="0"/>
              <w:rPr>
                <w:szCs w:val="22"/>
              </w:rPr>
            </w:pPr>
          </w:p>
        </w:tc>
        <w:tc>
          <w:tcPr>
            <w:tcW w:w="1503" w:type="dxa"/>
          </w:tcPr>
          <w:p w14:paraId="2023428A" w14:textId="77777777" w:rsidR="00A3198D" w:rsidRPr="000F3038" w:rsidRDefault="00A3198D" w:rsidP="009229F7">
            <w:pPr>
              <w:spacing w:before="240" w:after="0"/>
              <w:rPr>
                <w:szCs w:val="22"/>
              </w:rPr>
            </w:pPr>
          </w:p>
        </w:tc>
        <w:tc>
          <w:tcPr>
            <w:tcW w:w="1503" w:type="dxa"/>
          </w:tcPr>
          <w:p w14:paraId="03BC7C95" w14:textId="77777777" w:rsidR="00A3198D" w:rsidRPr="000F3038" w:rsidRDefault="00A3198D" w:rsidP="009229F7">
            <w:pPr>
              <w:spacing w:before="240" w:after="0"/>
              <w:rPr>
                <w:szCs w:val="22"/>
              </w:rPr>
            </w:pPr>
          </w:p>
        </w:tc>
        <w:tc>
          <w:tcPr>
            <w:tcW w:w="2376" w:type="dxa"/>
          </w:tcPr>
          <w:p w14:paraId="71040870" w14:textId="77777777" w:rsidR="00A3198D" w:rsidRPr="000F3038" w:rsidRDefault="00A3198D" w:rsidP="009229F7">
            <w:pPr>
              <w:spacing w:before="240" w:after="0"/>
              <w:rPr>
                <w:szCs w:val="22"/>
              </w:rPr>
            </w:pPr>
          </w:p>
        </w:tc>
      </w:tr>
    </w:tbl>
    <w:p w14:paraId="0D2ABEF1" w14:textId="77777777" w:rsidR="00A3198D" w:rsidRDefault="00A3198D" w:rsidP="00A3198D">
      <w:pPr>
        <w:rPr>
          <w:lang w:val="en-US"/>
        </w:rPr>
      </w:pPr>
    </w:p>
    <w:p w14:paraId="3BEBE749" w14:textId="77777777" w:rsidR="00DA0DFA" w:rsidRDefault="00DA0DFA" w:rsidP="00DA0DFA">
      <w:pPr>
        <w:pStyle w:val="Heading1"/>
      </w:pPr>
      <w:r>
        <w:t>Related Documents</w:t>
      </w:r>
    </w:p>
    <w:p w14:paraId="6414BD26" w14:textId="77777777" w:rsidR="00DC2D2F" w:rsidRDefault="005475AF" w:rsidP="005475AF">
      <w:pPr>
        <w:pStyle w:val="ListParagraph"/>
        <w:numPr>
          <w:ilvl w:val="0"/>
          <w:numId w:val="12"/>
        </w:numPr>
        <w:rPr>
          <w:lang w:val="en-US"/>
        </w:rPr>
      </w:pPr>
      <w:r w:rsidRPr="005475AF">
        <w:rPr>
          <w:lang w:val="en-US"/>
        </w:rPr>
        <w:t>Clauses relating to the transfer of shares</w:t>
      </w:r>
    </w:p>
    <w:p w14:paraId="0AA94EA6" w14:textId="77777777" w:rsidR="00916C41" w:rsidRDefault="00916C41" w:rsidP="005475AF">
      <w:pPr>
        <w:pStyle w:val="ListParagraph"/>
        <w:numPr>
          <w:ilvl w:val="0"/>
          <w:numId w:val="12"/>
        </w:numPr>
        <w:rPr>
          <w:lang w:val="en-US"/>
        </w:rPr>
      </w:pPr>
      <w:r>
        <w:rPr>
          <w:lang w:val="en-US"/>
        </w:rPr>
        <w:t>MHV Share Transfer Checklist</w:t>
      </w:r>
      <w:bookmarkStart w:id="1" w:name="_GoBack"/>
      <w:bookmarkEnd w:id="1"/>
    </w:p>
    <w:sectPr w:rsidR="00916C41" w:rsidSect="009B5450">
      <w:headerReference w:type="default" r:id="rId8"/>
      <w:footerReference w:type="default" r:id="rId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70C51" w14:textId="77777777" w:rsidR="006F2BAC" w:rsidRDefault="006F2BAC" w:rsidP="00735325">
      <w:r>
        <w:separator/>
      </w:r>
    </w:p>
  </w:endnote>
  <w:endnote w:type="continuationSeparator" w:id="0">
    <w:p w14:paraId="1818ED91" w14:textId="77777777" w:rsidR="006F2BAC" w:rsidRDefault="006F2BAC" w:rsidP="0073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66" w:type="pct"/>
      <w:tblBorders>
        <w:top w:val="single" w:sz="18" w:space="0" w:color="808080"/>
        <w:insideH w:val="single" w:sz="18" w:space="0" w:color="808080"/>
      </w:tblBorders>
      <w:tblLook w:val="04A0" w:firstRow="1" w:lastRow="0" w:firstColumn="1" w:lastColumn="0" w:noHBand="0" w:noVBand="1"/>
    </w:tblPr>
    <w:tblGrid>
      <w:gridCol w:w="4964"/>
      <w:gridCol w:w="2601"/>
      <w:gridCol w:w="2115"/>
    </w:tblGrid>
    <w:tr w:rsidR="00307854" w:rsidRPr="00F310EE" w14:paraId="306A8424" w14:textId="77777777" w:rsidTr="00DC2D2F">
      <w:tc>
        <w:tcPr>
          <w:tcW w:w="5070" w:type="dxa"/>
          <w:tcBorders>
            <w:bottom w:val="nil"/>
          </w:tcBorders>
        </w:tcPr>
        <w:p w14:paraId="16F79053" w14:textId="77777777" w:rsidR="00307854" w:rsidRDefault="00307854" w:rsidP="00914CAF">
          <w:pPr>
            <w:tabs>
              <w:tab w:val="center" w:pos="4513"/>
              <w:tab w:val="right" w:pos="9026"/>
            </w:tabs>
            <w:spacing w:after="0" w:line="240" w:lineRule="auto"/>
            <w:rPr>
              <w:rFonts w:ascii="Calibri" w:eastAsia="Calibri" w:hAnsi="Calibri" w:cs="Times New Roman"/>
              <w:color w:val="auto"/>
              <w:sz w:val="20"/>
              <w:szCs w:val="20"/>
              <w:lang w:val="en-NZ"/>
            </w:rPr>
          </w:pPr>
          <w:r w:rsidRPr="00F310EE">
            <w:rPr>
              <w:rFonts w:ascii="Calibri" w:eastAsia="Calibri" w:hAnsi="Calibri" w:cs="Times New Roman"/>
              <w:color w:val="auto"/>
              <w:sz w:val="20"/>
              <w:szCs w:val="20"/>
              <w:lang w:val="en-NZ"/>
            </w:rPr>
            <w:fldChar w:fldCharType="begin"/>
          </w:r>
          <w:r w:rsidRPr="00F310EE">
            <w:rPr>
              <w:rFonts w:ascii="Calibri" w:eastAsia="Calibri" w:hAnsi="Calibri" w:cs="Times New Roman"/>
              <w:color w:val="auto"/>
              <w:sz w:val="20"/>
              <w:szCs w:val="20"/>
              <w:lang w:val="en-NZ"/>
            </w:rPr>
            <w:instrText xml:space="preserve"> FILENAME \* MERGEFORMAT </w:instrText>
          </w:r>
          <w:r w:rsidRPr="00F310EE">
            <w:rPr>
              <w:rFonts w:ascii="Calibri" w:eastAsia="Calibri" w:hAnsi="Calibri" w:cs="Times New Roman"/>
              <w:color w:val="auto"/>
              <w:sz w:val="20"/>
              <w:szCs w:val="20"/>
              <w:lang w:val="en-NZ"/>
            </w:rPr>
            <w:fldChar w:fldCharType="separate"/>
          </w:r>
          <w:r w:rsidR="00DC2D2F">
            <w:rPr>
              <w:rFonts w:ascii="Calibri" w:eastAsia="Calibri" w:hAnsi="Calibri" w:cs="Times New Roman"/>
              <w:noProof/>
              <w:color w:val="auto"/>
              <w:sz w:val="20"/>
              <w:szCs w:val="20"/>
              <w:lang w:val="en-NZ"/>
            </w:rPr>
            <w:t>Transfer of Shares_shares remain on same parcel of land</w:t>
          </w:r>
          <w:r w:rsidRPr="00F310EE">
            <w:rPr>
              <w:rFonts w:ascii="Calibri" w:eastAsia="Calibri" w:hAnsi="Calibri" w:cs="Times New Roman"/>
              <w:color w:val="auto"/>
              <w:sz w:val="20"/>
              <w:szCs w:val="20"/>
              <w:lang w:val="en-NZ"/>
            </w:rPr>
            <w:fldChar w:fldCharType="end"/>
          </w:r>
        </w:p>
        <w:p w14:paraId="326878F3" w14:textId="77777777" w:rsidR="00307854" w:rsidRPr="00F310EE" w:rsidRDefault="00307854" w:rsidP="00914CAF">
          <w:pPr>
            <w:tabs>
              <w:tab w:val="center" w:pos="4513"/>
              <w:tab w:val="right" w:pos="9026"/>
            </w:tabs>
            <w:spacing w:after="0" w:line="240" w:lineRule="auto"/>
            <w:rPr>
              <w:rFonts w:ascii="Calibri" w:eastAsia="Calibri" w:hAnsi="Calibri" w:cs="Times New Roman"/>
              <w:color w:val="auto"/>
              <w:sz w:val="20"/>
              <w:szCs w:val="20"/>
              <w:lang w:val="en-NZ"/>
            </w:rPr>
          </w:pPr>
          <w:r>
            <w:rPr>
              <w:rFonts w:ascii="Calibri" w:eastAsia="Calibri" w:hAnsi="Calibri" w:cs="Times New Roman"/>
              <w:color w:val="auto"/>
              <w:sz w:val="20"/>
              <w:szCs w:val="20"/>
              <w:lang w:val="en-NZ"/>
            </w:rPr>
            <w:t>MHV Policy Document</w:t>
          </w:r>
        </w:p>
      </w:tc>
      <w:tc>
        <w:tcPr>
          <w:tcW w:w="2671" w:type="dxa"/>
          <w:tcBorders>
            <w:bottom w:val="nil"/>
          </w:tcBorders>
        </w:tcPr>
        <w:p w14:paraId="6CF4CFFA" w14:textId="77777777" w:rsidR="00307854" w:rsidRPr="00F310EE" w:rsidRDefault="00307854" w:rsidP="00A3198D">
          <w:pPr>
            <w:tabs>
              <w:tab w:val="center" w:pos="4513"/>
              <w:tab w:val="right" w:pos="9026"/>
            </w:tabs>
            <w:spacing w:after="0" w:line="240" w:lineRule="auto"/>
            <w:ind w:left="578"/>
            <w:rPr>
              <w:rFonts w:ascii="Calibri" w:eastAsia="Calibri" w:hAnsi="Calibri" w:cs="Times New Roman"/>
              <w:color w:val="auto"/>
              <w:sz w:val="20"/>
              <w:szCs w:val="20"/>
              <w:lang w:val="en-NZ"/>
            </w:rPr>
          </w:pPr>
        </w:p>
      </w:tc>
      <w:tc>
        <w:tcPr>
          <w:tcW w:w="2153" w:type="dxa"/>
          <w:tcBorders>
            <w:bottom w:val="nil"/>
          </w:tcBorders>
        </w:tcPr>
        <w:p w14:paraId="06DB9186" w14:textId="77777777" w:rsidR="00307854" w:rsidRPr="00F310EE" w:rsidRDefault="00307854" w:rsidP="00A3198D">
          <w:pPr>
            <w:tabs>
              <w:tab w:val="center" w:pos="4513"/>
              <w:tab w:val="right" w:pos="9026"/>
            </w:tabs>
            <w:spacing w:after="0" w:line="240" w:lineRule="auto"/>
            <w:rPr>
              <w:rFonts w:ascii="Calibri" w:eastAsia="Calibri" w:hAnsi="Calibri" w:cs="Times New Roman"/>
              <w:color w:val="auto"/>
              <w:sz w:val="20"/>
              <w:szCs w:val="20"/>
              <w:lang w:val="en-NZ"/>
            </w:rPr>
          </w:pPr>
          <w:r w:rsidRPr="00F310EE">
            <w:rPr>
              <w:rFonts w:ascii="Calibri" w:eastAsia="Calibri" w:hAnsi="Calibri" w:cs="Times New Roman"/>
              <w:color w:val="808080"/>
              <w:spacing w:val="60"/>
              <w:sz w:val="20"/>
              <w:szCs w:val="20"/>
              <w:lang w:val="en-NZ"/>
            </w:rPr>
            <w:t>Page</w:t>
          </w:r>
          <w:r w:rsidRPr="00F310EE">
            <w:rPr>
              <w:rFonts w:ascii="Calibri" w:eastAsia="Calibri" w:hAnsi="Calibri" w:cs="Times New Roman"/>
              <w:color w:val="auto"/>
              <w:sz w:val="20"/>
              <w:szCs w:val="20"/>
              <w:lang w:val="en-NZ"/>
            </w:rPr>
            <w:t xml:space="preserve"> | </w:t>
          </w:r>
          <w:r w:rsidRPr="00F310EE">
            <w:rPr>
              <w:rFonts w:ascii="Calibri" w:eastAsia="Calibri" w:hAnsi="Calibri" w:cs="Times New Roman"/>
              <w:color w:val="auto"/>
              <w:sz w:val="20"/>
              <w:szCs w:val="20"/>
              <w:lang w:val="en-NZ"/>
            </w:rPr>
            <w:fldChar w:fldCharType="begin"/>
          </w:r>
          <w:r w:rsidRPr="00F310EE">
            <w:rPr>
              <w:rFonts w:ascii="Calibri" w:eastAsia="Calibri" w:hAnsi="Calibri" w:cs="Times New Roman"/>
              <w:color w:val="auto"/>
              <w:sz w:val="20"/>
              <w:szCs w:val="20"/>
              <w:lang w:val="en-NZ"/>
            </w:rPr>
            <w:instrText xml:space="preserve"> PAGE   \* MERGEFORMAT </w:instrText>
          </w:r>
          <w:r w:rsidRPr="00F310EE">
            <w:rPr>
              <w:rFonts w:ascii="Calibri" w:eastAsia="Calibri" w:hAnsi="Calibri" w:cs="Times New Roman"/>
              <w:color w:val="auto"/>
              <w:sz w:val="20"/>
              <w:szCs w:val="20"/>
              <w:lang w:val="en-NZ"/>
            </w:rPr>
            <w:fldChar w:fldCharType="separate"/>
          </w:r>
          <w:r w:rsidR="00A25A5E">
            <w:rPr>
              <w:rFonts w:ascii="Calibri" w:eastAsia="Calibri" w:hAnsi="Calibri" w:cs="Times New Roman"/>
              <w:noProof/>
              <w:color w:val="auto"/>
              <w:sz w:val="20"/>
              <w:szCs w:val="20"/>
              <w:lang w:val="en-NZ"/>
            </w:rPr>
            <w:t>3</w:t>
          </w:r>
          <w:r w:rsidRPr="00F310EE">
            <w:rPr>
              <w:rFonts w:ascii="Calibri" w:eastAsia="Calibri" w:hAnsi="Calibri" w:cs="Times New Roman"/>
              <w:noProof/>
              <w:color w:val="auto"/>
              <w:sz w:val="20"/>
              <w:szCs w:val="20"/>
              <w:lang w:val="en-NZ"/>
            </w:rPr>
            <w:fldChar w:fldCharType="end"/>
          </w:r>
          <w:r w:rsidRPr="00F310EE">
            <w:rPr>
              <w:rFonts w:ascii="Calibri" w:eastAsia="Calibri" w:hAnsi="Calibri" w:cs="Times New Roman"/>
              <w:noProof/>
              <w:color w:val="auto"/>
              <w:sz w:val="20"/>
              <w:szCs w:val="20"/>
              <w:lang w:val="en-NZ"/>
            </w:rPr>
            <w:t xml:space="preserve"> of </w:t>
          </w:r>
          <w:r w:rsidRPr="00F310EE">
            <w:rPr>
              <w:rFonts w:ascii="Calibri" w:eastAsia="Calibri" w:hAnsi="Calibri" w:cs="Times New Roman"/>
              <w:noProof/>
              <w:color w:val="auto"/>
              <w:sz w:val="20"/>
              <w:szCs w:val="20"/>
              <w:lang w:val="en-NZ"/>
            </w:rPr>
            <w:fldChar w:fldCharType="begin"/>
          </w:r>
          <w:r w:rsidRPr="00F310EE">
            <w:rPr>
              <w:rFonts w:ascii="Calibri" w:eastAsia="Calibri" w:hAnsi="Calibri" w:cs="Times New Roman"/>
              <w:noProof/>
              <w:color w:val="auto"/>
              <w:sz w:val="20"/>
              <w:szCs w:val="20"/>
              <w:lang w:val="en-NZ"/>
            </w:rPr>
            <w:instrText xml:space="preserve"> NUMPAGES   \* MERGEFORMAT </w:instrText>
          </w:r>
          <w:r w:rsidRPr="00F310EE">
            <w:rPr>
              <w:rFonts w:ascii="Calibri" w:eastAsia="Calibri" w:hAnsi="Calibri" w:cs="Times New Roman"/>
              <w:noProof/>
              <w:color w:val="auto"/>
              <w:sz w:val="20"/>
              <w:szCs w:val="20"/>
              <w:lang w:val="en-NZ"/>
            </w:rPr>
            <w:fldChar w:fldCharType="separate"/>
          </w:r>
          <w:r w:rsidR="00A25A5E">
            <w:rPr>
              <w:rFonts w:ascii="Calibri" w:eastAsia="Calibri" w:hAnsi="Calibri" w:cs="Times New Roman"/>
              <w:noProof/>
              <w:color w:val="auto"/>
              <w:sz w:val="20"/>
              <w:szCs w:val="20"/>
              <w:lang w:val="en-NZ"/>
            </w:rPr>
            <w:t>3</w:t>
          </w:r>
          <w:r w:rsidRPr="00F310EE">
            <w:rPr>
              <w:rFonts w:ascii="Calibri" w:eastAsia="Calibri" w:hAnsi="Calibri" w:cs="Times New Roman"/>
              <w:noProof/>
              <w:color w:val="auto"/>
              <w:sz w:val="20"/>
              <w:szCs w:val="20"/>
              <w:lang w:val="en-NZ"/>
            </w:rPr>
            <w:fldChar w:fldCharType="end"/>
          </w:r>
        </w:p>
      </w:tc>
    </w:tr>
  </w:tbl>
  <w:p w14:paraId="015C3758" w14:textId="77777777" w:rsidR="00307854" w:rsidRPr="00A3198D" w:rsidRDefault="00307854" w:rsidP="009B5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C523" w14:textId="77777777" w:rsidR="006F2BAC" w:rsidRDefault="006F2BAC" w:rsidP="00735325">
      <w:r>
        <w:separator/>
      </w:r>
    </w:p>
  </w:footnote>
  <w:footnote w:type="continuationSeparator" w:id="0">
    <w:p w14:paraId="58DA867A" w14:textId="77777777" w:rsidR="006F2BAC" w:rsidRDefault="006F2BAC" w:rsidP="00735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9B44" w14:textId="77777777" w:rsidR="00307854" w:rsidRDefault="00307854" w:rsidP="00735325">
    <w:pPr>
      <w:pStyle w:val="Header"/>
    </w:pPr>
    <w:r>
      <w:rPr>
        <w:noProof/>
        <w:lang w:val="en-NZ" w:eastAsia="en-NZ"/>
      </w:rPr>
      <w:drawing>
        <wp:anchor distT="0" distB="0" distL="114300" distR="114300" simplePos="0" relativeHeight="251658240" behindDoc="0" locked="0" layoutInCell="1" allowOverlap="1" wp14:anchorId="2309599F" wp14:editId="38BFDC8A">
          <wp:simplePos x="0" y="0"/>
          <wp:positionH relativeFrom="column">
            <wp:posOffset>3895725</wp:posOffset>
          </wp:positionH>
          <wp:positionV relativeFrom="paragraph">
            <wp:posOffset>-142875</wp:posOffset>
          </wp:positionV>
          <wp:extent cx="2292350" cy="518160"/>
          <wp:effectExtent l="0" t="0" r="0" b="0"/>
          <wp:wrapThrough wrapText="bothSides">
            <wp:wrapPolygon edited="0">
              <wp:start x="0" y="0"/>
              <wp:lineTo x="0" y="20647"/>
              <wp:lineTo x="21361" y="20647"/>
              <wp:lineTo x="21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350" cy="51816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F3D6D"/>
    <w:multiLevelType w:val="multilevel"/>
    <w:tmpl w:val="55089E0E"/>
    <w:lvl w:ilvl="0">
      <w:start w:val="1"/>
      <w:numFmt w:val="decimal"/>
      <w:lvlText w:val="%1."/>
      <w:lvlJc w:val="left"/>
      <w:pPr>
        <w:ind w:left="579" w:hanging="360"/>
      </w:pPr>
      <w:rPr>
        <w:rFonts w:hint="default"/>
      </w:rPr>
    </w:lvl>
    <w:lvl w:ilvl="1">
      <w:start w:val="1"/>
      <w:numFmt w:val="decimal"/>
      <w:lvlText w:val="%1.%2."/>
      <w:lvlJc w:val="left"/>
      <w:pPr>
        <w:ind w:left="1011" w:hanging="432"/>
      </w:pPr>
      <w:rPr>
        <w:rFonts w:hint="default"/>
      </w:rPr>
    </w:lvl>
    <w:lvl w:ilvl="2">
      <w:start w:val="1"/>
      <w:numFmt w:val="decimal"/>
      <w:lvlText w:val="%1.%2.%3."/>
      <w:lvlJc w:val="left"/>
      <w:pPr>
        <w:ind w:left="1716" w:hanging="504"/>
      </w:pPr>
      <w:rPr>
        <w:rFonts w:hint="default"/>
        <w:b/>
        <w:color w:val="374C80" w:themeColor="accent1" w:themeShade="BF"/>
      </w:rPr>
    </w:lvl>
    <w:lvl w:ilvl="3">
      <w:start w:val="1"/>
      <w:numFmt w:val="decimal"/>
      <w:lvlText w:val="%1.%2.%3.%4."/>
      <w:lvlJc w:val="left"/>
      <w:pPr>
        <w:ind w:left="1947" w:hanging="648"/>
      </w:pPr>
      <w:rPr>
        <w:rFonts w:hint="default"/>
        <w:b/>
        <w:color w:val="374C80" w:themeColor="accent1" w:themeShade="BF"/>
      </w:rPr>
    </w:lvl>
    <w:lvl w:ilvl="4">
      <w:start w:val="1"/>
      <w:numFmt w:val="decimal"/>
      <w:lvlText w:val="%1.%2.%3.%4.%5."/>
      <w:lvlJc w:val="left"/>
      <w:pPr>
        <w:ind w:left="2451" w:hanging="792"/>
      </w:pPr>
      <w:rPr>
        <w:rFonts w:hint="default"/>
      </w:rPr>
    </w:lvl>
    <w:lvl w:ilvl="5">
      <w:start w:val="1"/>
      <w:numFmt w:val="decimal"/>
      <w:lvlText w:val="%1.%2.%3.%4.%5.%6."/>
      <w:lvlJc w:val="left"/>
      <w:pPr>
        <w:ind w:left="2955" w:hanging="936"/>
      </w:pPr>
      <w:rPr>
        <w:rFonts w:hint="default"/>
      </w:rPr>
    </w:lvl>
    <w:lvl w:ilvl="6">
      <w:start w:val="1"/>
      <w:numFmt w:val="decimal"/>
      <w:lvlText w:val="%1.%2.%3.%4.%5.%6.%7."/>
      <w:lvlJc w:val="left"/>
      <w:pPr>
        <w:ind w:left="3459" w:hanging="1080"/>
      </w:pPr>
      <w:rPr>
        <w:rFonts w:hint="default"/>
      </w:rPr>
    </w:lvl>
    <w:lvl w:ilvl="7">
      <w:start w:val="1"/>
      <w:numFmt w:val="decimal"/>
      <w:lvlText w:val="%1.%2.%3.%4.%5.%6.%7.%8."/>
      <w:lvlJc w:val="left"/>
      <w:pPr>
        <w:ind w:left="3963" w:hanging="1224"/>
      </w:pPr>
      <w:rPr>
        <w:rFonts w:hint="default"/>
      </w:rPr>
    </w:lvl>
    <w:lvl w:ilvl="8">
      <w:start w:val="1"/>
      <w:numFmt w:val="decimal"/>
      <w:lvlText w:val="%1.%2.%3.%4.%5.%6.%7.%8.%9."/>
      <w:lvlJc w:val="left"/>
      <w:pPr>
        <w:ind w:left="4539" w:hanging="1440"/>
      </w:pPr>
      <w:rPr>
        <w:rFonts w:hint="default"/>
      </w:rPr>
    </w:lvl>
  </w:abstractNum>
  <w:abstractNum w:abstractNumId="1" w15:restartNumberingAfterBreak="0">
    <w:nsid w:val="0D837A2A"/>
    <w:multiLevelType w:val="hybridMultilevel"/>
    <w:tmpl w:val="E29631E2"/>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F2631B"/>
    <w:multiLevelType w:val="hybridMultilevel"/>
    <w:tmpl w:val="AA90F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204A3F"/>
    <w:multiLevelType w:val="multilevel"/>
    <w:tmpl w:val="993C327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7CA51A9"/>
    <w:multiLevelType w:val="hybridMultilevel"/>
    <w:tmpl w:val="267821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A28088E"/>
    <w:multiLevelType w:val="hybridMultilevel"/>
    <w:tmpl w:val="68784234"/>
    <w:lvl w:ilvl="0" w:tplc="2A02FBE0">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0454E30"/>
    <w:multiLevelType w:val="hybridMultilevel"/>
    <w:tmpl w:val="2F92733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68353E9"/>
    <w:multiLevelType w:val="hybridMultilevel"/>
    <w:tmpl w:val="8F6A58DC"/>
    <w:lvl w:ilvl="0" w:tplc="14090001">
      <w:start w:val="1"/>
      <w:numFmt w:val="bullet"/>
      <w:lvlText w:val=""/>
      <w:lvlJc w:val="left"/>
      <w:pPr>
        <w:ind w:left="720" w:hanging="360"/>
      </w:pPr>
      <w:rPr>
        <w:rFonts w:ascii="Symbol" w:hAnsi="Symbol" w:hint="default"/>
      </w:rPr>
    </w:lvl>
    <w:lvl w:ilvl="1" w:tplc="14090019">
      <w:start w:val="1"/>
      <w:numFmt w:val="decimal"/>
      <w:lvlText w:val="%2."/>
      <w:lvlJc w:val="left"/>
      <w:pPr>
        <w:tabs>
          <w:tab w:val="num" w:pos="1440"/>
        </w:tabs>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8" w15:restartNumberingAfterBreak="0">
    <w:nsid w:val="52CF1F24"/>
    <w:multiLevelType w:val="hybridMultilevel"/>
    <w:tmpl w:val="2B721772"/>
    <w:lvl w:ilvl="0" w:tplc="C7D85898">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6563BA1"/>
    <w:multiLevelType w:val="hybridMultilevel"/>
    <w:tmpl w:val="077471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5C02770"/>
    <w:multiLevelType w:val="hybridMultilevel"/>
    <w:tmpl w:val="35543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5"/>
  </w:num>
  <w:num w:numId="5">
    <w:abstractNumId w:val="5"/>
  </w:num>
  <w:num w:numId="6">
    <w:abstractNumId w:val="5"/>
  </w:num>
  <w:num w:numId="7">
    <w:abstractNumId w:val="9"/>
  </w:num>
  <w:num w:numId="8">
    <w:abstractNumId w:val="8"/>
  </w:num>
  <w:num w:numId="9">
    <w:abstractNumId w:val="3"/>
  </w:num>
  <w:num w:numId="10">
    <w:abstractNumId w:val="10"/>
  </w:num>
  <w:num w:numId="11">
    <w:abstractNumId w:val="2"/>
  </w:num>
  <w:num w:numId="12">
    <w:abstractNumId w:val="4"/>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152"/>
    <w:rsid w:val="00041AFF"/>
    <w:rsid w:val="000422DF"/>
    <w:rsid w:val="000638E9"/>
    <w:rsid w:val="00071D0A"/>
    <w:rsid w:val="0007449E"/>
    <w:rsid w:val="00080095"/>
    <w:rsid w:val="0008162D"/>
    <w:rsid w:val="00084066"/>
    <w:rsid w:val="000933AC"/>
    <w:rsid w:val="000A06C9"/>
    <w:rsid w:val="000A7C03"/>
    <w:rsid w:val="000B552A"/>
    <w:rsid w:val="000D0E5F"/>
    <w:rsid w:val="000D5915"/>
    <w:rsid w:val="000D7BCD"/>
    <w:rsid w:val="000F6CBB"/>
    <w:rsid w:val="00100AFF"/>
    <w:rsid w:val="00104E5C"/>
    <w:rsid w:val="001133DE"/>
    <w:rsid w:val="00141649"/>
    <w:rsid w:val="00141C72"/>
    <w:rsid w:val="001647FD"/>
    <w:rsid w:val="00166385"/>
    <w:rsid w:val="001803AA"/>
    <w:rsid w:val="00195C71"/>
    <w:rsid w:val="0020518E"/>
    <w:rsid w:val="00210CB5"/>
    <w:rsid w:val="00221E2B"/>
    <w:rsid w:val="00242D57"/>
    <w:rsid w:val="0024585F"/>
    <w:rsid w:val="00274703"/>
    <w:rsid w:val="00294C41"/>
    <w:rsid w:val="002B49F0"/>
    <w:rsid w:val="00307854"/>
    <w:rsid w:val="00341642"/>
    <w:rsid w:val="003918A2"/>
    <w:rsid w:val="003B2CAF"/>
    <w:rsid w:val="003C367D"/>
    <w:rsid w:val="003E750D"/>
    <w:rsid w:val="004137D3"/>
    <w:rsid w:val="0044475D"/>
    <w:rsid w:val="00471A95"/>
    <w:rsid w:val="0047373C"/>
    <w:rsid w:val="00482CC4"/>
    <w:rsid w:val="004927C0"/>
    <w:rsid w:val="004A2060"/>
    <w:rsid w:val="004D7674"/>
    <w:rsid w:val="004F0723"/>
    <w:rsid w:val="004F493B"/>
    <w:rsid w:val="0050779C"/>
    <w:rsid w:val="00542684"/>
    <w:rsid w:val="005475AF"/>
    <w:rsid w:val="00556929"/>
    <w:rsid w:val="005B178A"/>
    <w:rsid w:val="005C72B0"/>
    <w:rsid w:val="005F1475"/>
    <w:rsid w:val="00607BAD"/>
    <w:rsid w:val="00615EA5"/>
    <w:rsid w:val="006360A2"/>
    <w:rsid w:val="0069605C"/>
    <w:rsid w:val="006A223A"/>
    <w:rsid w:val="006E6E34"/>
    <w:rsid w:val="006F2BAC"/>
    <w:rsid w:val="00702B74"/>
    <w:rsid w:val="00735325"/>
    <w:rsid w:val="00766F63"/>
    <w:rsid w:val="007950B6"/>
    <w:rsid w:val="007B7103"/>
    <w:rsid w:val="007F7860"/>
    <w:rsid w:val="008157B5"/>
    <w:rsid w:val="00837BFB"/>
    <w:rsid w:val="008443B7"/>
    <w:rsid w:val="008525BA"/>
    <w:rsid w:val="008566BB"/>
    <w:rsid w:val="008B5106"/>
    <w:rsid w:val="008C0267"/>
    <w:rsid w:val="008D1632"/>
    <w:rsid w:val="008D4B0D"/>
    <w:rsid w:val="008D7D0B"/>
    <w:rsid w:val="00914CAF"/>
    <w:rsid w:val="00916C41"/>
    <w:rsid w:val="009210CD"/>
    <w:rsid w:val="009229F7"/>
    <w:rsid w:val="00922CAB"/>
    <w:rsid w:val="00944211"/>
    <w:rsid w:val="00947C53"/>
    <w:rsid w:val="0095123D"/>
    <w:rsid w:val="00964274"/>
    <w:rsid w:val="00972378"/>
    <w:rsid w:val="009725DD"/>
    <w:rsid w:val="00986DFC"/>
    <w:rsid w:val="009960BF"/>
    <w:rsid w:val="009B5450"/>
    <w:rsid w:val="009B67E5"/>
    <w:rsid w:val="009C0DE8"/>
    <w:rsid w:val="009E3528"/>
    <w:rsid w:val="009E7B6F"/>
    <w:rsid w:val="00A23CDB"/>
    <w:rsid w:val="00A25A5E"/>
    <w:rsid w:val="00A3198D"/>
    <w:rsid w:val="00A4202A"/>
    <w:rsid w:val="00A44152"/>
    <w:rsid w:val="00A62F21"/>
    <w:rsid w:val="00A715FC"/>
    <w:rsid w:val="00A75C95"/>
    <w:rsid w:val="00B3685A"/>
    <w:rsid w:val="00B450AD"/>
    <w:rsid w:val="00B46E16"/>
    <w:rsid w:val="00B96DC0"/>
    <w:rsid w:val="00BA2678"/>
    <w:rsid w:val="00BA3969"/>
    <w:rsid w:val="00BB513C"/>
    <w:rsid w:val="00BE5319"/>
    <w:rsid w:val="00BE7354"/>
    <w:rsid w:val="00C03749"/>
    <w:rsid w:val="00C75D2C"/>
    <w:rsid w:val="00C90CE8"/>
    <w:rsid w:val="00CA6318"/>
    <w:rsid w:val="00CB36CC"/>
    <w:rsid w:val="00CD0D73"/>
    <w:rsid w:val="00CD2C59"/>
    <w:rsid w:val="00CE4F92"/>
    <w:rsid w:val="00D2074F"/>
    <w:rsid w:val="00D23E15"/>
    <w:rsid w:val="00D57E47"/>
    <w:rsid w:val="00DA0DFA"/>
    <w:rsid w:val="00DC2D2F"/>
    <w:rsid w:val="00DD2758"/>
    <w:rsid w:val="00DD3E71"/>
    <w:rsid w:val="00DE4E2C"/>
    <w:rsid w:val="00E10259"/>
    <w:rsid w:val="00E10438"/>
    <w:rsid w:val="00E13831"/>
    <w:rsid w:val="00E17CDC"/>
    <w:rsid w:val="00E369AB"/>
    <w:rsid w:val="00E409B3"/>
    <w:rsid w:val="00E4109B"/>
    <w:rsid w:val="00E45DD2"/>
    <w:rsid w:val="00E638F1"/>
    <w:rsid w:val="00E63E31"/>
    <w:rsid w:val="00E81F71"/>
    <w:rsid w:val="00E92B04"/>
    <w:rsid w:val="00E95FE9"/>
    <w:rsid w:val="00E96836"/>
    <w:rsid w:val="00EB19DB"/>
    <w:rsid w:val="00EC4D01"/>
    <w:rsid w:val="00EC6BBB"/>
    <w:rsid w:val="00F010D0"/>
    <w:rsid w:val="00F2060D"/>
    <w:rsid w:val="00F52859"/>
    <w:rsid w:val="00F6078B"/>
    <w:rsid w:val="00F62F1F"/>
    <w:rsid w:val="00F90CD4"/>
    <w:rsid w:val="00FA7295"/>
    <w:rsid w:val="00FD4687"/>
    <w:rsid w:val="00FE4916"/>
    <w:rsid w:val="00FF28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AE2955"/>
  <w15:docId w15:val="{C3A85EF2-EE3E-43D4-A5C1-FAFF8B22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0B6"/>
    <w:pPr>
      <w:spacing w:after="280" w:line="312" w:lineRule="auto"/>
      <w:jc w:val="both"/>
    </w:pPr>
    <w:rPr>
      <w:rFonts w:eastAsia="Times New Roman" w:cs="Arial"/>
      <w:color w:val="262626"/>
      <w:sz w:val="21"/>
      <w:szCs w:val="18"/>
      <w:lang w:val="en-GB"/>
    </w:rPr>
  </w:style>
  <w:style w:type="paragraph" w:styleId="Heading1">
    <w:name w:val="heading 1"/>
    <w:next w:val="Normal"/>
    <w:link w:val="Heading1Char"/>
    <w:autoRedefine/>
    <w:qFormat/>
    <w:rsid w:val="007950B6"/>
    <w:pPr>
      <w:numPr>
        <w:numId w:val="9"/>
      </w:numPr>
      <w:spacing w:before="280" w:after="140" w:line="240" w:lineRule="auto"/>
      <w:outlineLvl w:val="0"/>
    </w:pPr>
    <w:rPr>
      <w:rFonts w:eastAsia="Times New Roman" w:cs="Times New Roman"/>
      <w:b/>
      <w:color w:val="297FD5" w:themeColor="accent3"/>
      <w:sz w:val="32"/>
      <w:szCs w:val="36"/>
      <w:lang w:val="en-US"/>
    </w:rPr>
  </w:style>
  <w:style w:type="paragraph" w:styleId="Heading2">
    <w:name w:val="heading 2"/>
    <w:basedOn w:val="Normal"/>
    <w:next w:val="Normal"/>
    <w:link w:val="Heading2Char"/>
    <w:uiPriority w:val="9"/>
    <w:unhideWhenUsed/>
    <w:qFormat/>
    <w:rsid w:val="00100AFF"/>
    <w:pPr>
      <w:keepNext/>
      <w:keepLines/>
      <w:numPr>
        <w:ilvl w:val="1"/>
        <w:numId w:val="9"/>
      </w:numPr>
      <w:spacing w:before="40" w:after="0"/>
      <w:outlineLvl w:val="1"/>
    </w:pPr>
    <w:rPr>
      <w:rFonts w:eastAsiaTheme="majorEastAsia" w:cstheme="majorBidi"/>
      <w:b/>
      <w:color w:val="374C80" w:themeColor="accent1" w:themeShade="BF"/>
      <w:sz w:val="26"/>
      <w:szCs w:val="26"/>
    </w:rPr>
  </w:style>
  <w:style w:type="paragraph" w:styleId="Heading3">
    <w:name w:val="heading 3"/>
    <w:basedOn w:val="Normal"/>
    <w:next w:val="Normal"/>
    <w:link w:val="Heading3Char"/>
    <w:uiPriority w:val="9"/>
    <w:unhideWhenUsed/>
    <w:qFormat/>
    <w:rsid w:val="00C03749"/>
    <w:pPr>
      <w:keepNext/>
      <w:keepLines/>
      <w:numPr>
        <w:ilvl w:val="2"/>
        <w:numId w:val="9"/>
      </w:numPr>
      <w:spacing w:before="40" w:after="0"/>
      <w:outlineLvl w:val="2"/>
    </w:pPr>
    <w:rPr>
      <w:rFonts w:asciiTheme="majorHAnsi" w:eastAsiaTheme="majorEastAsia" w:hAnsiTheme="majorHAnsi" w:cstheme="majorBidi"/>
      <w:color w:val="243255" w:themeColor="accent1" w:themeShade="7F"/>
      <w:sz w:val="24"/>
      <w:szCs w:val="24"/>
    </w:rPr>
  </w:style>
  <w:style w:type="paragraph" w:styleId="Heading4">
    <w:name w:val="heading 4"/>
    <w:basedOn w:val="ListParagraph"/>
    <w:next w:val="Normal"/>
    <w:link w:val="Heading4Char"/>
    <w:uiPriority w:val="9"/>
    <w:unhideWhenUsed/>
    <w:qFormat/>
    <w:rsid w:val="00C03749"/>
    <w:pPr>
      <w:numPr>
        <w:ilvl w:val="3"/>
        <w:numId w:val="9"/>
      </w:numPr>
      <w:spacing w:after="0" w:line="240" w:lineRule="auto"/>
      <w:jc w:val="left"/>
      <w:outlineLvl w:val="3"/>
    </w:pPr>
    <w:rPr>
      <w:rFonts w:eastAsiaTheme="minorHAnsi" w:cstheme="minorBidi"/>
      <w:bCs/>
      <w:iCs/>
      <w:color w:val="auto"/>
      <w:szCs w:val="22"/>
      <w:lang w:val="en-NZ"/>
    </w:rPr>
  </w:style>
  <w:style w:type="paragraph" w:styleId="Heading5">
    <w:name w:val="heading 5"/>
    <w:basedOn w:val="Normal"/>
    <w:next w:val="Normal"/>
    <w:link w:val="Heading5Char"/>
    <w:uiPriority w:val="9"/>
    <w:semiHidden/>
    <w:unhideWhenUsed/>
    <w:qFormat/>
    <w:rsid w:val="000933AC"/>
    <w:pPr>
      <w:keepNext/>
      <w:keepLines/>
      <w:numPr>
        <w:ilvl w:val="4"/>
        <w:numId w:val="9"/>
      </w:numPr>
      <w:spacing w:before="40" w:after="0"/>
      <w:outlineLvl w:val="4"/>
    </w:pPr>
    <w:rPr>
      <w:rFonts w:asciiTheme="majorHAnsi" w:eastAsiaTheme="majorEastAsia" w:hAnsiTheme="majorHAnsi" w:cstheme="majorBidi"/>
      <w:color w:val="374C80" w:themeColor="accent1" w:themeShade="BF"/>
    </w:rPr>
  </w:style>
  <w:style w:type="paragraph" w:styleId="Heading6">
    <w:name w:val="heading 6"/>
    <w:basedOn w:val="Normal"/>
    <w:next w:val="Normal"/>
    <w:link w:val="Heading6Char"/>
    <w:uiPriority w:val="9"/>
    <w:semiHidden/>
    <w:unhideWhenUsed/>
    <w:qFormat/>
    <w:rsid w:val="000933AC"/>
    <w:pPr>
      <w:keepNext/>
      <w:keepLines/>
      <w:numPr>
        <w:ilvl w:val="5"/>
        <w:numId w:val="9"/>
      </w:numPr>
      <w:spacing w:before="40" w:after="0"/>
      <w:outlineLvl w:val="5"/>
    </w:pPr>
    <w:rPr>
      <w:rFonts w:asciiTheme="majorHAnsi" w:eastAsiaTheme="majorEastAsia" w:hAnsiTheme="majorHAnsi" w:cstheme="majorBidi"/>
      <w:color w:val="243255" w:themeColor="accent1" w:themeShade="7F"/>
    </w:rPr>
  </w:style>
  <w:style w:type="paragraph" w:styleId="Heading7">
    <w:name w:val="heading 7"/>
    <w:basedOn w:val="Normal"/>
    <w:next w:val="Normal"/>
    <w:link w:val="Heading7Char"/>
    <w:uiPriority w:val="9"/>
    <w:semiHidden/>
    <w:unhideWhenUsed/>
    <w:qFormat/>
    <w:rsid w:val="000933AC"/>
    <w:pPr>
      <w:keepNext/>
      <w:keepLines/>
      <w:numPr>
        <w:ilvl w:val="6"/>
        <w:numId w:val="9"/>
      </w:numPr>
      <w:spacing w:before="40" w:after="0"/>
      <w:outlineLvl w:val="6"/>
    </w:pPr>
    <w:rPr>
      <w:rFonts w:asciiTheme="majorHAnsi" w:eastAsiaTheme="majorEastAsia" w:hAnsiTheme="majorHAnsi" w:cstheme="majorBidi"/>
      <w:i/>
      <w:iCs/>
      <w:color w:val="243255" w:themeColor="accent1" w:themeShade="7F"/>
    </w:rPr>
  </w:style>
  <w:style w:type="paragraph" w:styleId="Heading8">
    <w:name w:val="heading 8"/>
    <w:basedOn w:val="Normal"/>
    <w:next w:val="Normal"/>
    <w:link w:val="Heading8Char"/>
    <w:uiPriority w:val="9"/>
    <w:semiHidden/>
    <w:unhideWhenUsed/>
    <w:qFormat/>
    <w:rsid w:val="000933AC"/>
    <w:pPr>
      <w:keepNext/>
      <w:keepLines/>
      <w:numPr>
        <w:ilvl w:val="7"/>
        <w:numId w:val="9"/>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0933AC"/>
    <w:pPr>
      <w:keepNext/>
      <w:keepLines/>
      <w:numPr>
        <w:ilvl w:val="8"/>
        <w:numId w:val="9"/>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50B6"/>
    <w:rPr>
      <w:rFonts w:eastAsia="Times New Roman" w:cs="Times New Roman"/>
      <w:b/>
      <w:color w:val="297FD5" w:themeColor="accent3"/>
      <w:sz w:val="32"/>
      <w:szCs w:val="36"/>
      <w:lang w:val="en-US"/>
    </w:rPr>
  </w:style>
  <w:style w:type="paragraph" w:styleId="BodyText">
    <w:name w:val="Body Text"/>
    <w:link w:val="BodyTextChar"/>
    <w:unhideWhenUsed/>
    <w:qFormat/>
    <w:rsid w:val="001803AA"/>
    <w:pPr>
      <w:spacing w:after="280" w:line="312" w:lineRule="auto"/>
      <w:jc w:val="both"/>
    </w:pPr>
    <w:rPr>
      <w:rFonts w:ascii="Arial" w:eastAsia="Times New Roman" w:hAnsi="Arial" w:cs="Arial"/>
      <w:color w:val="262626"/>
      <w:szCs w:val="18"/>
      <w:lang w:val="en-GB"/>
    </w:rPr>
  </w:style>
  <w:style w:type="character" w:customStyle="1" w:styleId="BodyTextChar">
    <w:name w:val="Body Text Char"/>
    <w:basedOn w:val="DefaultParagraphFont"/>
    <w:link w:val="BodyText"/>
    <w:rsid w:val="001803AA"/>
    <w:rPr>
      <w:rFonts w:ascii="Arial" w:eastAsia="Times New Roman" w:hAnsi="Arial" w:cs="Arial"/>
      <w:color w:val="262626"/>
      <w:szCs w:val="18"/>
      <w:lang w:val="en-GB"/>
    </w:rPr>
  </w:style>
  <w:style w:type="paragraph" w:styleId="Header">
    <w:name w:val="header"/>
    <w:basedOn w:val="Normal"/>
    <w:link w:val="HeaderChar"/>
    <w:uiPriority w:val="99"/>
    <w:unhideWhenUsed/>
    <w:rsid w:val="003C367D"/>
    <w:pPr>
      <w:tabs>
        <w:tab w:val="center" w:pos="4513"/>
        <w:tab w:val="right" w:pos="9026"/>
      </w:tabs>
    </w:pPr>
  </w:style>
  <w:style w:type="character" w:customStyle="1" w:styleId="HeaderChar">
    <w:name w:val="Header Char"/>
    <w:basedOn w:val="DefaultParagraphFont"/>
    <w:link w:val="Header"/>
    <w:uiPriority w:val="99"/>
    <w:rsid w:val="003C367D"/>
    <w:rPr>
      <w:rFonts w:ascii="Times New Roman" w:eastAsia="Times New Roman" w:hAnsi="Times New Roman" w:cs="Times New Roman"/>
      <w:sz w:val="20"/>
      <w:szCs w:val="20"/>
      <w:lang w:val="en-GB"/>
    </w:rPr>
  </w:style>
  <w:style w:type="paragraph" w:styleId="Footer">
    <w:name w:val="footer"/>
    <w:aliases w:val="Portrait"/>
    <w:basedOn w:val="Normal"/>
    <w:link w:val="FooterChar"/>
    <w:uiPriority w:val="99"/>
    <w:unhideWhenUsed/>
    <w:qFormat/>
    <w:rsid w:val="003C367D"/>
    <w:pPr>
      <w:tabs>
        <w:tab w:val="center" w:pos="4513"/>
        <w:tab w:val="right" w:pos="9026"/>
      </w:tabs>
    </w:pPr>
  </w:style>
  <w:style w:type="character" w:customStyle="1" w:styleId="FooterChar">
    <w:name w:val="Footer Char"/>
    <w:aliases w:val="Portrait Char"/>
    <w:basedOn w:val="DefaultParagraphFont"/>
    <w:link w:val="Footer"/>
    <w:uiPriority w:val="99"/>
    <w:rsid w:val="003C367D"/>
    <w:rPr>
      <w:rFonts w:ascii="Times New Roman" w:eastAsia="Times New Roman" w:hAnsi="Times New Roman" w:cs="Times New Roman"/>
      <w:sz w:val="20"/>
      <w:szCs w:val="20"/>
      <w:lang w:val="en-GB"/>
    </w:rPr>
  </w:style>
  <w:style w:type="paragraph" w:customStyle="1" w:styleId="Pageheadsub">
    <w:name w:val="Pagehead sub"/>
    <w:rsid w:val="003C367D"/>
    <w:pPr>
      <w:spacing w:after="0" w:line="240" w:lineRule="auto"/>
    </w:pPr>
    <w:rPr>
      <w:rFonts w:ascii="Arial" w:eastAsia="Times New Roman" w:hAnsi="Arial" w:cs="Times New Roman"/>
      <w:caps/>
      <w:color w:val="808080"/>
      <w:sz w:val="20"/>
      <w:szCs w:val="20"/>
      <w:lang w:val="en-GB"/>
    </w:rPr>
  </w:style>
  <w:style w:type="character" w:styleId="PageNumber">
    <w:name w:val="page number"/>
    <w:basedOn w:val="DefaultParagraphFont"/>
    <w:rsid w:val="003C367D"/>
  </w:style>
  <w:style w:type="paragraph" w:styleId="BalloonText">
    <w:name w:val="Balloon Text"/>
    <w:basedOn w:val="Normal"/>
    <w:link w:val="BalloonTextChar"/>
    <w:uiPriority w:val="99"/>
    <w:semiHidden/>
    <w:unhideWhenUsed/>
    <w:rsid w:val="00294C41"/>
    <w:rPr>
      <w:rFonts w:ascii="Tahoma" w:hAnsi="Tahoma" w:cs="Tahoma"/>
      <w:sz w:val="16"/>
      <w:szCs w:val="16"/>
    </w:rPr>
  </w:style>
  <w:style w:type="character" w:customStyle="1" w:styleId="BalloonTextChar">
    <w:name w:val="Balloon Text Char"/>
    <w:basedOn w:val="DefaultParagraphFont"/>
    <w:link w:val="BalloonText"/>
    <w:uiPriority w:val="99"/>
    <w:semiHidden/>
    <w:rsid w:val="00294C41"/>
    <w:rPr>
      <w:rFonts w:ascii="Tahoma" w:eastAsia="Times New Roman" w:hAnsi="Tahoma" w:cs="Tahoma"/>
      <w:sz w:val="16"/>
      <w:szCs w:val="16"/>
      <w:lang w:val="en-GB"/>
    </w:rPr>
  </w:style>
  <w:style w:type="character" w:customStyle="1" w:styleId="footerChar0">
    <w:name w:val="footer Char"/>
    <w:basedOn w:val="DefaultParagraphFont"/>
    <w:link w:val="Footer1"/>
    <w:locked/>
    <w:rsid w:val="00E369AB"/>
    <w:rPr>
      <w:rFonts w:ascii="Calibri" w:eastAsia="Calibri" w:hAnsi="Calibri" w:cstheme="minorHAnsi"/>
      <w:b/>
      <w:sz w:val="16"/>
      <w:szCs w:val="16"/>
    </w:rPr>
  </w:style>
  <w:style w:type="paragraph" w:customStyle="1" w:styleId="Footer1">
    <w:name w:val="Footer1"/>
    <w:basedOn w:val="Normal"/>
    <w:link w:val="footerChar0"/>
    <w:qFormat/>
    <w:rsid w:val="00E369AB"/>
    <w:pPr>
      <w:spacing w:line="276" w:lineRule="auto"/>
    </w:pPr>
    <w:rPr>
      <w:rFonts w:ascii="Calibri" w:eastAsia="Calibri" w:hAnsi="Calibri" w:cstheme="minorHAnsi"/>
      <w:b/>
      <w:sz w:val="16"/>
      <w:szCs w:val="16"/>
      <w:lang w:val="en-NZ"/>
    </w:rPr>
  </w:style>
  <w:style w:type="table" w:customStyle="1" w:styleId="GridTable4-Accent11">
    <w:name w:val="Grid Table 4 - Accent 11"/>
    <w:basedOn w:val="TableNormal"/>
    <w:uiPriority w:val="49"/>
    <w:rsid w:val="00E369AB"/>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character" w:styleId="CommentReference">
    <w:name w:val="annotation reference"/>
    <w:basedOn w:val="DefaultParagraphFont"/>
    <w:uiPriority w:val="99"/>
    <w:semiHidden/>
    <w:unhideWhenUsed/>
    <w:rsid w:val="00E81F71"/>
    <w:rPr>
      <w:sz w:val="16"/>
      <w:szCs w:val="16"/>
    </w:rPr>
  </w:style>
  <w:style w:type="paragraph" w:styleId="CommentText">
    <w:name w:val="annotation text"/>
    <w:basedOn w:val="Normal"/>
    <w:link w:val="CommentTextChar"/>
    <w:uiPriority w:val="99"/>
    <w:semiHidden/>
    <w:unhideWhenUsed/>
    <w:rsid w:val="00E81F71"/>
  </w:style>
  <w:style w:type="character" w:customStyle="1" w:styleId="CommentTextChar">
    <w:name w:val="Comment Text Char"/>
    <w:basedOn w:val="DefaultParagraphFont"/>
    <w:link w:val="CommentText"/>
    <w:uiPriority w:val="99"/>
    <w:semiHidden/>
    <w:rsid w:val="00E81F7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81F71"/>
    <w:rPr>
      <w:b/>
      <w:bCs/>
    </w:rPr>
  </w:style>
  <w:style w:type="character" w:customStyle="1" w:styleId="CommentSubjectChar">
    <w:name w:val="Comment Subject Char"/>
    <w:basedOn w:val="CommentTextChar"/>
    <w:link w:val="CommentSubject"/>
    <w:uiPriority w:val="99"/>
    <w:semiHidden/>
    <w:rsid w:val="00E81F71"/>
    <w:rPr>
      <w:rFonts w:ascii="Times New Roman" w:eastAsia="Times New Roman" w:hAnsi="Times New Roman" w:cs="Times New Roman"/>
      <w:b/>
      <w:bCs/>
      <w:sz w:val="20"/>
      <w:szCs w:val="20"/>
      <w:lang w:val="en-GB"/>
    </w:rPr>
  </w:style>
  <w:style w:type="character" w:customStyle="1" w:styleId="Heading3Char">
    <w:name w:val="Heading 3 Char"/>
    <w:basedOn w:val="DefaultParagraphFont"/>
    <w:link w:val="Heading3"/>
    <w:uiPriority w:val="9"/>
    <w:semiHidden/>
    <w:rsid w:val="00C03749"/>
    <w:rPr>
      <w:rFonts w:asciiTheme="majorHAnsi" w:eastAsiaTheme="majorEastAsia" w:hAnsiTheme="majorHAnsi" w:cstheme="majorBidi"/>
      <w:color w:val="243255" w:themeColor="accent1" w:themeShade="7F"/>
      <w:sz w:val="24"/>
      <w:szCs w:val="24"/>
      <w:lang w:val="en-GB"/>
    </w:rPr>
  </w:style>
  <w:style w:type="character" w:customStyle="1" w:styleId="Heading4Char">
    <w:name w:val="Heading 4 Char"/>
    <w:basedOn w:val="DefaultParagraphFont"/>
    <w:link w:val="Heading4"/>
    <w:uiPriority w:val="9"/>
    <w:rsid w:val="00C03749"/>
    <w:rPr>
      <w:bCs/>
      <w:iCs/>
    </w:rPr>
  </w:style>
  <w:style w:type="paragraph" w:styleId="ListParagraph">
    <w:name w:val="List Paragraph"/>
    <w:basedOn w:val="Normal"/>
    <w:uiPriority w:val="34"/>
    <w:qFormat/>
    <w:rsid w:val="00C03749"/>
    <w:pPr>
      <w:ind w:left="720"/>
      <w:contextualSpacing/>
    </w:pPr>
  </w:style>
  <w:style w:type="character" w:customStyle="1" w:styleId="Heading2Char">
    <w:name w:val="Heading 2 Char"/>
    <w:basedOn w:val="DefaultParagraphFont"/>
    <w:link w:val="Heading2"/>
    <w:uiPriority w:val="9"/>
    <w:rsid w:val="00100AFF"/>
    <w:rPr>
      <w:rFonts w:eastAsiaTheme="majorEastAsia" w:cstheme="majorBidi"/>
      <w:b/>
      <w:color w:val="374C80" w:themeColor="accent1" w:themeShade="BF"/>
      <w:sz w:val="26"/>
      <w:szCs w:val="26"/>
      <w:lang w:val="en-GB"/>
    </w:rPr>
  </w:style>
  <w:style w:type="character" w:styleId="PlaceholderText">
    <w:name w:val="Placeholder Text"/>
    <w:basedOn w:val="DefaultParagraphFont"/>
    <w:uiPriority w:val="99"/>
    <w:semiHidden/>
    <w:rsid w:val="00E10259"/>
    <w:rPr>
      <w:color w:val="808080"/>
    </w:rPr>
  </w:style>
  <w:style w:type="character" w:styleId="IntenseEmphasis">
    <w:name w:val="Intense Emphasis"/>
    <w:basedOn w:val="DefaultParagraphFont"/>
    <w:uiPriority w:val="21"/>
    <w:qFormat/>
    <w:rsid w:val="00100AFF"/>
    <w:rPr>
      <w:bCs/>
      <w:i/>
      <w:iCs/>
    </w:rPr>
  </w:style>
  <w:style w:type="character" w:styleId="IntenseReference">
    <w:name w:val="Intense Reference"/>
    <w:basedOn w:val="DefaultParagraphFont"/>
    <w:uiPriority w:val="32"/>
    <w:qFormat/>
    <w:rsid w:val="00EC6BBB"/>
    <w:rPr>
      <w:b/>
      <w:bCs/>
      <w:smallCaps/>
      <w:color w:val="4A66AC" w:themeColor="accent1"/>
      <w:spacing w:val="5"/>
    </w:rPr>
  </w:style>
  <w:style w:type="character" w:customStyle="1" w:styleId="Heading5Char">
    <w:name w:val="Heading 5 Char"/>
    <w:basedOn w:val="DefaultParagraphFont"/>
    <w:link w:val="Heading5"/>
    <w:uiPriority w:val="9"/>
    <w:semiHidden/>
    <w:rsid w:val="000933AC"/>
    <w:rPr>
      <w:rFonts w:asciiTheme="majorHAnsi" w:eastAsiaTheme="majorEastAsia" w:hAnsiTheme="majorHAnsi" w:cstheme="majorBidi"/>
      <w:color w:val="374C80" w:themeColor="accent1" w:themeShade="BF"/>
      <w:szCs w:val="18"/>
      <w:lang w:val="en-GB"/>
    </w:rPr>
  </w:style>
  <w:style w:type="character" w:customStyle="1" w:styleId="Heading6Char">
    <w:name w:val="Heading 6 Char"/>
    <w:basedOn w:val="DefaultParagraphFont"/>
    <w:link w:val="Heading6"/>
    <w:uiPriority w:val="9"/>
    <w:semiHidden/>
    <w:rsid w:val="000933AC"/>
    <w:rPr>
      <w:rFonts w:asciiTheme="majorHAnsi" w:eastAsiaTheme="majorEastAsia" w:hAnsiTheme="majorHAnsi" w:cstheme="majorBidi"/>
      <w:color w:val="243255" w:themeColor="accent1" w:themeShade="7F"/>
      <w:szCs w:val="18"/>
      <w:lang w:val="en-GB"/>
    </w:rPr>
  </w:style>
  <w:style w:type="character" w:customStyle="1" w:styleId="Heading7Char">
    <w:name w:val="Heading 7 Char"/>
    <w:basedOn w:val="DefaultParagraphFont"/>
    <w:link w:val="Heading7"/>
    <w:uiPriority w:val="9"/>
    <w:semiHidden/>
    <w:rsid w:val="000933AC"/>
    <w:rPr>
      <w:rFonts w:asciiTheme="majorHAnsi" w:eastAsiaTheme="majorEastAsia" w:hAnsiTheme="majorHAnsi" w:cstheme="majorBidi"/>
      <w:i/>
      <w:iCs/>
      <w:color w:val="243255" w:themeColor="accent1" w:themeShade="7F"/>
      <w:szCs w:val="18"/>
      <w:lang w:val="en-GB"/>
    </w:rPr>
  </w:style>
  <w:style w:type="character" w:customStyle="1" w:styleId="Heading8Char">
    <w:name w:val="Heading 8 Char"/>
    <w:basedOn w:val="DefaultParagraphFont"/>
    <w:link w:val="Heading8"/>
    <w:uiPriority w:val="9"/>
    <w:semiHidden/>
    <w:rsid w:val="000933A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0933AC"/>
    <w:rPr>
      <w:rFonts w:asciiTheme="majorHAnsi" w:eastAsiaTheme="majorEastAsia" w:hAnsiTheme="majorHAnsi" w:cstheme="majorBidi"/>
      <w:i/>
      <w:iCs/>
      <w:color w:val="272727" w:themeColor="text1" w:themeTint="D8"/>
      <w:sz w:val="21"/>
      <w:szCs w:val="21"/>
      <w:lang w:val="en-GB"/>
    </w:rPr>
  </w:style>
  <w:style w:type="paragraph" w:styleId="Title">
    <w:name w:val="Title"/>
    <w:basedOn w:val="Normal"/>
    <w:next w:val="Normal"/>
    <w:link w:val="TitleChar"/>
    <w:autoRedefine/>
    <w:uiPriority w:val="10"/>
    <w:qFormat/>
    <w:rsid w:val="004F493B"/>
    <w:pPr>
      <w:pBdr>
        <w:bottom w:val="single" w:sz="4" w:space="1" w:color="auto"/>
      </w:pBdr>
      <w:spacing w:after="0" w:line="240" w:lineRule="auto"/>
      <w:contextualSpacing/>
      <w:jc w:val="left"/>
    </w:pPr>
    <w:rPr>
      <w:rFonts w:eastAsiaTheme="majorEastAsia" w:cstheme="majorBidi"/>
      <w:color w:val="auto"/>
      <w:spacing w:val="-10"/>
      <w:kern w:val="28"/>
      <w:sz w:val="44"/>
      <w:szCs w:val="44"/>
    </w:rPr>
  </w:style>
  <w:style w:type="character" w:customStyle="1" w:styleId="TitleChar">
    <w:name w:val="Title Char"/>
    <w:basedOn w:val="DefaultParagraphFont"/>
    <w:link w:val="Title"/>
    <w:uiPriority w:val="10"/>
    <w:rsid w:val="004F493B"/>
    <w:rPr>
      <w:rFonts w:eastAsiaTheme="majorEastAsia" w:cstheme="majorBidi"/>
      <w:spacing w:val="-10"/>
      <w:kern w:val="28"/>
      <w:sz w:val="44"/>
      <w:szCs w:val="44"/>
      <w:lang w:val="en-GB"/>
    </w:rPr>
  </w:style>
  <w:style w:type="table" w:styleId="TableGrid">
    <w:name w:val="Table Grid"/>
    <w:basedOn w:val="TableNormal"/>
    <w:uiPriority w:val="59"/>
    <w:rsid w:val="00A31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hasisorPolicywording">
    <w:name w:val="Emphasis or Policy wording"/>
    <w:basedOn w:val="Heading2"/>
    <w:link w:val="EmphasisorPolicywordingChar"/>
    <w:qFormat/>
    <w:rsid w:val="00A3198D"/>
    <w:pPr>
      <w:numPr>
        <w:ilvl w:val="0"/>
        <w:numId w:val="0"/>
      </w:numPr>
    </w:pPr>
    <w:rPr>
      <w:b w:val="0"/>
    </w:rPr>
  </w:style>
  <w:style w:type="character" w:customStyle="1" w:styleId="EmphasisorPolicywordingChar">
    <w:name w:val="Emphasis or Policy wording Char"/>
    <w:basedOn w:val="Heading2Char"/>
    <w:link w:val="EmphasisorPolicywording"/>
    <w:rsid w:val="00A3198D"/>
    <w:rPr>
      <w:rFonts w:eastAsiaTheme="majorEastAsia" w:cstheme="majorBidi"/>
      <w:b w:val="0"/>
      <w:color w:val="374C80"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83343">
      <w:bodyDiv w:val="1"/>
      <w:marLeft w:val="0"/>
      <w:marRight w:val="0"/>
      <w:marTop w:val="0"/>
      <w:marBottom w:val="0"/>
      <w:divBdr>
        <w:top w:val="none" w:sz="0" w:space="0" w:color="auto"/>
        <w:left w:val="none" w:sz="0" w:space="0" w:color="auto"/>
        <w:bottom w:val="none" w:sz="0" w:space="0" w:color="auto"/>
        <w:right w:val="none" w:sz="0" w:space="0" w:color="auto"/>
      </w:divBdr>
    </w:div>
    <w:div w:id="16762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HV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08DD7-B6A3-49AB-8F25-6A7936B7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Policy Owner</Manager>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Jo Naylor</cp:lastModifiedBy>
  <cp:revision>2</cp:revision>
  <dcterms:created xsi:type="dcterms:W3CDTF">2018-09-20T01:03:00Z</dcterms:created>
  <dcterms:modified xsi:type="dcterms:W3CDTF">2018-09-20T01:03:00Z</dcterms:modified>
</cp:coreProperties>
</file>